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9B887" w14:textId="32E76144" w:rsidR="00526BED" w:rsidRPr="005841CA" w:rsidRDefault="00526BED" w:rsidP="00526BED">
      <w:pPr>
        <w:pStyle w:val="BodyText"/>
        <w:jc w:val="right"/>
        <w:rPr>
          <w:rFonts w:ascii="Tahoma" w:hAnsi="Tahoma" w:cs="Tahoma"/>
          <w:bCs/>
          <w:sz w:val="16"/>
          <w:szCs w:val="16"/>
        </w:rPr>
      </w:pPr>
      <w:r w:rsidRPr="00526BED">
        <w:rPr>
          <w:rFonts w:ascii="Tahoma" w:hAnsi="Tahoma" w:cs="Tahoma"/>
          <w:b/>
          <w:color w:val="1947BA"/>
          <w:sz w:val="16"/>
          <w:szCs w:val="16"/>
        </w:rPr>
        <w:t xml:space="preserve">Date </w:t>
      </w:r>
      <w:r w:rsidR="00E717F1">
        <w:rPr>
          <w:rFonts w:ascii="Tahoma" w:hAnsi="Tahoma" w:cs="Tahoma"/>
          <w:b/>
          <w:color w:val="1947BA"/>
          <w:sz w:val="16"/>
          <w:szCs w:val="16"/>
        </w:rPr>
        <w:t>Issued</w:t>
      </w:r>
      <w:r w:rsidRPr="00526BED">
        <w:rPr>
          <w:rFonts w:ascii="Tahoma" w:hAnsi="Tahoma" w:cs="Tahoma"/>
          <w:b/>
          <w:color w:val="1947BA"/>
          <w:sz w:val="16"/>
          <w:szCs w:val="16"/>
        </w:rPr>
        <w:t xml:space="preserve">: </w:t>
      </w:r>
      <w:r w:rsidR="00CD1AF7">
        <w:rPr>
          <w:rFonts w:ascii="Tahoma" w:hAnsi="Tahoma" w:cs="Tahoma"/>
          <w:b/>
          <w:color w:val="1947BA"/>
          <w:sz w:val="16"/>
          <w:szCs w:val="16"/>
        </w:rPr>
        <w:t>Nov 2025</w:t>
      </w:r>
    </w:p>
    <w:p w14:paraId="24533213" w14:textId="77777777" w:rsidR="00526BED" w:rsidRDefault="00526BED" w:rsidP="00D6012C">
      <w:pPr>
        <w:pStyle w:val="BodyText"/>
        <w:jc w:val="both"/>
        <w:rPr>
          <w:rFonts w:ascii="Tahoma" w:hAnsi="Tahoma" w:cs="Tahoma"/>
          <w:b/>
          <w:color w:val="1947BA"/>
          <w:sz w:val="6"/>
          <w:szCs w:val="6"/>
        </w:rPr>
      </w:pPr>
    </w:p>
    <w:p w14:paraId="6AAFBCDC" w14:textId="77777777" w:rsidR="00E4061C" w:rsidRPr="005E6739" w:rsidRDefault="00E4061C" w:rsidP="00D6012C">
      <w:pPr>
        <w:pStyle w:val="BodyText"/>
        <w:jc w:val="both"/>
        <w:rPr>
          <w:rFonts w:ascii="Tahoma" w:hAnsi="Tahoma" w:cs="Tahoma"/>
          <w:b/>
          <w:color w:val="1947BA"/>
          <w:sz w:val="6"/>
          <w:szCs w:val="6"/>
        </w:rPr>
      </w:pPr>
    </w:p>
    <w:p w14:paraId="61D7C799" w14:textId="2843A4C2" w:rsidR="0020438E" w:rsidRPr="00D6012C" w:rsidRDefault="005E6739" w:rsidP="00D6012C">
      <w:pPr>
        <w:pStyle w:val="BodyText"/>
        <w:jc w:val="both"/>
        <w:rPr>
          <w:rFonts w:ascii="Tahoma" w:hAnsi="Tahoma" w:cs="Tahoma"/>
          <w:b/>
          <w:color w:val="1947BA"/>
          <w:sz w:val="22"/>
          <w:szCs w:val="22"/>
        </w:rPr>
      </w:pPr>
      <w:r w:rsidRPr="00D6012C">
        <w:rPr>
          <w:rFonts w:ascii="Tahoma" w:hAnsi="Tahoma" w:cs="Tahoma"/>
          <w:b/>
          <w:color w:val="1947BA"/>
          <w:sz w:val="22"/>
          <w:szCs w:val="22"/>
        </w:rPr>
        <w:t xml:space="preserve">JOB </w:t>
      </w:r>
      <w:r>
        <w:rPr>
          <w:rFonts w:ascii="Tahoma" w:hAnsi="Tahoma" w:cs="Tahoma"/>
          <w:b/>
          <w:color w:val="1947BA"/>
          <w:sz w:val="22"/>
          <w:szCs w:val="22"/>
        </w:rPr>
        <w:t>D</w:t>
      </w:r>
      <w:r w:rsidRPr="00D6012C">
        <w:rPr>
          <w:rFonts w:ascii="Tahoma" w:hAnsi="Tahoma" w:cs="Tahoma"/>
          <w:b/>
          <w:color w:val="1947BA"/>
          <w:sz w:val="22"/>
          <w:szCs w:val="22"/>
        </w:rPr>
        <w:t>ESCRIPTION</w:t>
      </w:r>
    </w:p>
    <w:p w14:paraId="2E113185" w14:textId="77777777" w:rsidR="0020438E" w:rsidRPr="00D6012C" w:rsidRDefault="0020438E" w:rsidP="0020438E">
      <w:pPr>
        <w:pStyle w:val="BodyText"/>
        <w:rPr>
          <w:rFonts w:ascii="Tahoma" w:hAnsi="Tahoma" w:cs="Tahoma"/>
          <w:sz w:val="20"/>
          <w:szCs w:val="20"/>
        </w:rPr>
      </w:pPr>
    </w:p>
    <w:tbl>
      <w:tblPr>
        <w:tblW w:w="5000" w:type="pct"/>
        <w:tblInd w:w="-5" w:type="dxa"/>
        <w:tblLayout w:type="fixed"/>
        <w:tblLook w:val="04A0" w:firstRow="1" w:lastRow="0" w:firstColumn="1" w:lastColumn="0" w:noHBand="0" w:noVBand="1"/>
      </w:tblPr>
      <w:tblGrid>
        <w:gridCol w:w="1984"/>
        <w:gridCol w:w="7638"/>
      </w:tblGrid>
      <w:tr w:rsidR="0020438E" w:rsidRPr="00025D3C" w14:paraId="2AA0FBDC" w14:textId="77777777" w:rsidTr="00317335">
        <w:tc>
          <w:tcPr>
            <w:tcW w:w="1031" w:type="pct"/>
            <w:tcBorders>
              <w:top w:val="single" w:sz="4" w:space="0" w:color="auto"/>
              <w:left w:val="single" w:sz="4" w:space="0" w:color="auto"/>
              <w:bottom w:val="single" w:sz="4" w:space="0" w:color="auto"/>
              <w:right w:val="single" w:sz="4" w:space="0" w:color="auto"/>
            </w:tcBorders>
          </w:tcPr>
          <w:p w14:paraId="64A5753C" w14:textId="77777777" w:rsidR="0020438E" w:rsidRPr="00025D3C" w:rsidRDefault="0020438E" w:rsidP="00751518">
            <w:pPr>
              <w:spacing w:before="120" w:after="120"/>
              <w:rPr>
                <w:rFonts w:ascii="Tahoma" w:hAnsi="Tahoma" w:cs="Tahoma"/>
                <w:b/>
                <w:sz w:val="21"/>
                <w:szCs w:val="21"/>
              </w:rPr>
            </w:pPr>
            <w:r w:rsidRPr="00025D3C">
              <w:rPr>
                <w:rFonts w:ascii="Tahoma" w:hAnsi="Tahoma" w:cs="Tahoma"/>
                <w:b/>
                <w:sz w:val="21"/>
                <w:szCs w:val="21"/>
              </w:rPr>
              <w:t xml:space="preserve">Job Title    </w:t>
            </w:r>
          </w:p>
        </w:tc>
        <w:tc>
          <w:tcPr>
            <w:tcW w:w="3969" w:type="pct"/>
            <w:tcBorders>
              <w:top w:val="single" w:sz="4" w:space="0" w:color="auto"/>
              <w:left w:val="single" w:sz="4" w:space="0" w:color="auto"/>
              <w:bottom w:val="single" w:sz="4" w:space="0" w:color="auto"/>
              <w:right w:val="single" w:sz="4" w:space="0" w:color="auto"/>
            </w:tcBorders>
          </w:tcPr>
          <w:p w14:paraId="3A8F684C" w14:textId="7214F2BE" w:rsidR="0020438E" w:rsidRPr="001E659C" w:rsidRDefault="005C6C6B" w:rsidP="005C6C6B">
            <w:pPr>
              <w:spacing w:before="120" w:after="120"/>
              <w:rPr>
                <w:rFonts w:ascii="Tahoma" w:hAnsi="Tahoma" w:cs="Tahoma"/>
                <w:b/>
                <w:bCs/>
                <w:sz w:val="21"/>
                <w:szCs w:val="21"/>
              </w:rPr>
            </w:pPr>
            <w:r w:rsidRPr="001E659C">
              <w:rPr>
                <w:rFonts w:ascii="Tahoma" w:hAnsi="Tahoma" w:cs="Tahoma"/>
                <w:b/>
                <w:bCs/>
                <w:color w:val="262626" w:themeColor="text1" w:themeTint="D9"/>
                <w:sz w:val="21"/>
                <w:szCs w:val="21"/>
              </w:rPr>
              <w:t>Strategic Finance Director</w:t>
            </w:r>
          </w:p>
        </w:tc>
      </w:tr>
      <w:tr w:rsidR="0020438E" w:rsidRPr="00025D3C" w14:paraId="333514F8" w14:textId="77777777" w:rsidTr="00317335">
        <w:tc>
          <w:tcPr>
            <w:tcW w:w="1031" w:type="pct"/>
            <w:tcBorders>
              <w:top w:val="single" w:sz="4" w:space="0" w:color="auto"/>
              <w:left w:val="single" w:sz="4" w:space="0" w:color="auto"/>
              <w:bottom w:val="single" w:sz="4" w:space="0" w:color="auto"/>
              <w:right w:val="single" w:sz="4" w:space="0" w:color="auto"/>
            </w:tcBorders>
          </w:tcPr>
          <w:p w14:paraId="7CEAEF00" w14:textId="77777777" w:rsidR="0020438E" w:rsidRPr="00025D3C" w:rsidRDefault="0020438E" w:rsidP="00751518">
            <w:pPr>
              <w:spacing w:before="120" w:after="120"/>
              <w:rPr>
                <w:rFonts w:ascii="Tahoma" w:hAnsi="Tahoma" w:cs="Tahoma"/>
                <w:b/>
                <w:sz w:val="21"/>
                <w:szCs w:val="21"/>
              </w:rPr>
            </w:pPr>
            <w:r w:rsidRPr="00025D3C">
              <w:rPr>
                <w:rFonts w:ascii="Tahoma" w:hAnsi="Tahoma" w:cs="Tahoma"/>
                <w:b/>
                <w:sz w:val="21"/>
                <w:szCs w:val="21"/>
              </w:rPr>
              <w:t>Reports to</w:t>
            </w:r>
          </w:p>
        </w:tc>
        <w:tc>
          <w:tcPr>
            <w:tcW w:w="3969" w:type="pct"/>
            <w:tcBorders>
              <w:top w:val="single" w:sz="4" w:space="0" w:color="auto"/>
              <w:left w:val="single" w:sz="4" w:space="0" w:color="auto"/>
              <w:bottom w:val="single" w:sz="4" w:space="0" w:color="auto"/>
              <w:right w:val="single" w:sz="4" w:space="0" w:color="auto"/>
            </w:tcBorders>
          </w:tcPr>
          <w:p w14:paraId="5BDFC929" w14:textId="087311E6" w:rsidR="0020438E" w:rsidRPr="001E659C" w:rsidRDefault="005C6C6B" w:rsidP="00751518">
            <w:pPr>
              <w:spacing w:before="120" w:after="120"/>
              <w:rPr>
                <w:rFonts w:ascii="Aptos" w:hAnsi="Aptos" w:cs="Tahoma"/>
                <w:b/>
                <w:bCs/>
                <w:sz w:val="22"/>
                <w:szCs w:val="22"/>
              </w:rPr>
            </w:pPr>
            <w:r w:rsidRPr="001E659C">
              <w:rPr>
                <w:rFonts w:ascii="Tahoma" w:hAnsi="Tahoma" w:cs="Tahoma"/>
                <w:b/>
                <w:bCs/>
                <w:color w:val="262626" w:themeColor="text1" w:themeTint="D9"/>
                <w:sz w:val="21"/>
                <w:szCs w:val="21"/>
              </w:rPr>
              <w:t>Chief Financial Officer</w:t>
            </w:r>
          </w:p>
        </w:tc>
      </w:tr>
      <w:tr w:rsidR="00774CED" w:rsidRPr="00025D3C" w14:paraId="73864F93" w14:textId="77777777" w:rsidTr="00317335">
        <w:tc>
          <w:tcPr>
            <w:tcW w:w="1031" w:type="pct"/>
            <w:tcBorders>
              <w:top w:val="single" w:sz="4" w:space="0" w:color="auto"/>
              <w:left w:val="single" w:sz="4" w:space="0" w:color="auto"/>
              <w:bottom w:val="single" w:sz="4" w:space="0" w:color="auto"/>
              <w:right w:val="single" w:sz="4" w:space="0" w:color="auto"/>
            </w:tcBorders>
          </w:tcPr>
          <w:p w14:paraId="40F508E9" w14:textId="4BDD58BE" w:rsidR="00774CED" w:rsidRPr="00025D3C" w:rsidRDefault="00774CED" w:rsidP="00751518">
            <w:pPr>
              <w:spacing w:before="120" w:after="120"/>
              <w:rPr>
                <w:rFonts w:ascii="Tahoma" w:hAnsi="Tahoma" w:cs="Tahoma"/>
                <w:b/>
                <w:sz w:val="21"/>
                <w:szCs w:val="21"/>
              </w:rPr>
            </w:pPr>
            <w:r>
              <w:rPr>
                <w:rFonts w:ascii="Tahoma" w:hAnsi="Tahoma" w:cs="Tahoma"/>
                <w:b/>
                <w:sz w:val="21"/>
                <w:szCs w:val="21"/>
              </w:rPr>
              <w:t>Job Purpose</w:t>
            </w:r>
          </w:p>
        </w:tc>
        <w:tc>
          <w:tcPr>
            <w:tcW w:w="3969" w:type="pct"/>
            <w:tcBorders>
              <w:top w:val="single" w:sz="4" w:space="0" w:color="auto"/>
              <w:left w:val="single" w:sz="4" w:space="0" w:color="auto"/>
              <w:bottom w:val="single" w:sz="4" w:space="0" w:color="auto"/>
              <w:right w:val="single" w:sz="4" w:space="0" w:color="auto"/>
            </w:tcBorders>
          </w:tcPr>
          <w:p w14:paraId="79D5E62F" w14:textId="77777777" w:rsidR="005C6C6B" w:rsidRDefault="005C6C6B" w:rsidP="005C6C6B">
            <w:pPr>
              <w:ind w:right="-1"/>
              <w:jc w:val="both"/>
              <w:rPr>
                <w:rFonts w:ascii="Tahoma" w:hAnsi="Tahoma" w:cs="Tahoma"/>
                <w:color w:val="262626" w:themeColor="text1" w:themeTint="D9"/>
                <w:sz w:val="21"/>
                <w:szCs w:val="21"/>
              </w:rPr>
            </w:pPr>
            <w:r w:rsidRPr="005C6C6B">
              <w:rPr>
                <w:rFonts w:ascii="Tahoma" w:hAnsi="Tahoma" w:cs="Tahoma"/>
                <w:color w:val="262626" w:themeColor="text1" w:themeTint="D9"/>
                <w:sz w:val="21"/>
                <w:szCs w:val="21"/>
              </w:rPr>
              <w:t>The Strategic Finance Director is a senior finance leadership role reporting directly to the Chief Financial Officer. The postholder will act as the CFO’s principal strategic partner, providing analytical leadership, financial insight and execution discipline to translate strategy into measurable financial outcomes.</w:t>
            </w:r>
          </w:p>
          <w:p w14:paraId="369AAA67" w14:textId="77777777" w:rsidR="005C6C6B" w:rsidRPr="005C6C6B" w:rsidRDefault="005C6C6B" w:rsidP="005C6C6B">
            <w:pPr>
              <w:ind w:right="-1"/>
              <w:jc w:val="both"/>
              <w:rPr>
                <w:rFonts w:ascii="Tahoma" w:hAnsi="Tahoma" w:cs="Tahoma"/>
                <w:color w:val="262626" w:themeColor="text1" w:themeTint="D9"/>
                <w:sz w:val="21"/>
                <w:szCs w:val="21"/>
              </w:rPr>
            </w:pPr>
          </w:p>
          <w:p w14:paraId="1DEC86FF" w14:textId="287DC147" w:rsidR="005C6C6B" w:rsidRDefault="005C6C6B" w:rsidP="005C6C6B">
            <w:pPr>
              <w:ind w:right="-1"/>
              <w:jc w:val="both"/>
              <w:rPr>
                <w:rFonts w:ascii="Tahoma" w:hAnsi="Tahoma" w:cs="Tahoma"/>
                <w:color w:val="262626" w:themeColor="text1" w:themeTint="D9"/>
                <w:sz w:val="21"/>
                <w:szCs w:val="21"/>
              </w:rPr>
            </w:pPr>
            <w:r w:rsidRPr="005C6C6B">
              <w:rPr>
                <w:rFonts w:ascii="Tahoma" w:hAnsi="Tahoma" w:cs="Tahoma"/>
                <w:color w:val="262626" w:themeColor="text1" w:themeTint="D9"/>
                <w:sz w:val="21"/>
                <w:szCs w:val="21"/>
              </w:rPr>
              <w:t xml:space="preserve">The role underpins Achieve </w:t>
            </w:r>
            <w:proofErr w:type="spellStart"/>
            <w:r w:rsidRPr="005C6C6B">
              <w:rPr>
                <w:rFonts w:ascii="Tahoma" w:hAnsi="Tahoma" w:cs="Tahoma"/>
                <w:color w:val="262626" w:themeColor="text1" w:themeTint="D9"/>
                <w:sz w:val="21"/>
                <w:szCs w:val="21"/>
              </w:rPr>
              <w:t>together’s</w:t>
            </w:r>
            <w:proofErr w:type="spellEnd"/>
            <w:r w:rsidRPr="005C6C6B">
              <w:rPr>
                <w:rFonts w:ascii="Tahoma" w:hAnsi="Tahoma" w:cs="Tahoma"/>
                <w:color w:val="262626" w:themeColor="text1" w:themeTint="D9"/>
                <w:sz w:val="21"/>
                <w:szCs w:val="21"/>
              </w:rPr>
              <w:t xml:space="preserve"> value creation agenda, supporting EBITDA growth, improving quality of earnings</w:t>
            </w:r>
            <w:r>
              <w:rPr>
                <w:rFonts w:ascii="Tahoma" w:hAnsi="Tahoma" w:cs="Tahoma"/>
                <w:color w:val="262626" w:themeColor="text1" w:themeTint="D9"/>
                <w:sz w:val="21"/>
                <w:szCs w:val="21"/>
              </w:rPr>
              <w:t xml:space="preserve"> and</w:t>
            </w:r>
            <w:r w:rsidRPr="005C6C6B">
              <w:rPr>
                <w:rFonts w:ascii="Tahoma" w:hAnsi="Tahoma" w:cs="Tahoma"/>
                <w:color w:val="262626" w:themeColor="text1" w:themeTint="D9"/>
                <w:sz w:val="21"/>
                <w:szCs w:val="21"/>
              </w:rPr>
              <w:t xml:space="preserve"> strengthening cash generation. This is a highly visible role, operating across</w:t>
            </w:r>
            <w:r>
              <w:rPr>
                <w:rFonts w:ascii="Tahoma" w:hAnsi="Tahoma" w:cs="Tahoma"/>
                <w:color w:val="262626" w:themeColor="text1" w:themeTint="D9"/>
                <w:sz w:val="21"/>
                <w:szCs w:val="21"/>
              </w:rPr>
              <w:t xml:space="preserve"> </w:t>
            </w:r>
            <w:r w:rsidRPr="005C6C6B">
              <w:rPr>
                <w:rFonts w:ascii="Tahoma" w:hAnsi="Tahoma" w:cs="Tahoma"/>
                <w:color w:val="262626" w:themeColor="text1" w:themeTint="D9"/>
                <w:sz w:val="21"/>
                <w:szCs w:val="21"/>
              </w:rPr>
              <w:t xml:space="preserve">Finance, </w:t>
            </w:r>
            <w:r>
              <w:rPr>
                <w:rFonts w:ascii="Tahoma" w:hAnsi="Tahoma" w:cs="Tahoma"/>
                <w:color w:val="262626" w:themeColor="text1" w:themeTint="D9"/>
                <w:sz w:val="21"/>
                <w:szCs w:val="21"/>
              </w:rPr>
              <w:t xml:space="preserve">Commercial and </w:t>
            </w:r>
            <w:r w:rsidRPr="005C6C6B">
              <w:rPr>
                <w:rFonts w:ascii="Tahoma" w:hAnsi="Tahoma" w:cs="Tahoma"/>
                <w:color w:val="262626" w:themeColor="text1" w:themeTint="D9"/>
                <w:sz w:val="21"/>
                <w:szCs w:val="21"/>
              </w:rPr>
              <w:t>Operations.</w:t>
            </w:r>
          </w:p>
          <w:p w14:paraId="0C6111F0" w14:textId="77777777" w:rsidR="005C6C6B" w:rsidRPr="005C6C6B" w:rsidRDefault="005C6C6B" w:rsidP="005C6C6B">
            <w:pPr>
              <w:ind w:right="-1"/>
              <w:jc w:val="both"/>
              <w:rPr>
                <w:rFonts w:ascii="Tahoma" w:hAnsi="Tahoma" w:cs="Tahoma"/>
                <w:color w:val="262626" w:themeColor="text1" w:themeTint="D9"/>
                <w:sz w:val="21"/>
                <w:szCs w:val="21"/>
              </w:rPr>
            </w:pPr>
          </w:p>
          <w:p w14:paraId="44499826" w14:textId="0B08A8FE" w:rsidR="00774CED" w:rsidRDefault="005C6C6B" w:rsidP="005C6C6B">
            <w:pPr>
              <w:ind w:right="-1"/>
              <w:jc w:val="both"/>
              <w:rPr>
                <w:rFonts w:ascii="Tahoma" w:hAnsi="Tahoma" w:cs="Tahoma"/>
                <w:color w:val="262626" w:themeColor="text1" w:themeTint="D9"/>
                <w:sz w:val="21"/>
                <w:szCs w:val="21"/>
              </w:rPr>
            </w:pPr>
            <w:r w:rsidRPr="005C6C6B">
              <w:rPr>
                <w:rFonts w:ascii="Tahoma" w:hAnsi="Tahoma" w:cs="Tahoma"/>
                <w:color w:val="262626" w:themeColor="text1" w:themeTint="D9"/>
                <w:sz w:val="21"/>
                <w:szCs w:val="21"/>
              </w:rPr>
              <w:t xml:space="preserve">The postholder will also operate as a trusted delegate for the CFO where required, providing leadership continuity, senior decision‑making support and escalation handling across the </w:t>
            </w:r>
            <w:proofErr w:type="spellStart"/>
            <w:r>
              <w:rPr>
                <w:rFonts w:ascii="Tahoma" w:hAnsi="Tahoma" w:cs="Tahoma"/>
                <w:color w:val="262626" w:themeColor="text1" w:themeTint="D9"/>
                <w:sz w:val="21"/>
                <w:szCs w:val="21"/>
              </w:rPr>
              <w:t>organisation</w:t>
            </w:r>
            <w:proofErr w:type="spellEnd"/>
            <w:r>
              <w:rPr>
                <w:rFonts w:ascii="Tahoma" w:hAnsi="Tahoma" w:cs="Tahoma"/>
                <w:color w:val="262626" w:themeColor="text1" w:themeTint="D9"/>
                <w:sz w:val="21"/>
                <w:szCs w:val="21"/>
              </w:rPr>
              <w:t>.</w:t>
            </w:r>
          </w:p>
          <w:p w14:paraId="1363B793" w14:textId="1603AA19" w:rsidR="005C6C6B" w:rsidRPr="005C6C6B" w:rsidRDefault="005C6C6B" w:rsidP="005C6C6B">
            <w:pPr>
              <w:ind w:right="-1"/>
              <w:jc w:val="both"/>
              <w:rPr>
                <w:rFonts w:ascii="Tahoma" w:hAnsi="Tahoma" w:cs="Tahoma"/>
                <w:sz w:val="21"/>
                <w:szCs w:val="21"/>
              </w:rPr>
            </w:pPr>
          </w:p>
        </w:tc>
      </w:tr>
      <w:tr w:rsidR="00403EA7" w:rsidRPr="00025D3C" w14:paraId="39A3DBC3" w14:textId="77777777" w:rsidTr="00317335">
        <w:tc>
          <w:tcPr>
            <w:tcW w:w="1031" w:type="pct"/>
            <w:tcBorders>
              <w:top w:val="single" w:sz="4" w:space="0" w:color="auto"/>
              <w:left w:val="single" w:sz="4" w:space="0" w:color="auto"/>
              <w:bottom w:val="single" w:sz="4" w:space="0" w:color="auto"/>
              <w:right w:val="single" w:sz="4" w:space="0" w:color="auto"/>
            </w:tcBorders>
          </w:tcPr>
          <w:p w14:paraId="58FCDFDC" w14:textId="6DE50734" w:rsidR="00403EA7" w:rsidRDefault="00403EA7" w:rsidP="00751518">
            <w:pPr>
              <w:spacing w:before="120" w:after="120"/>
              <w:rPr>
                <w:rFonts w:ascii="Tahoma" w:hAnsi="Tahoma" w:cs="Tahoma"/>
                <w:b/>
                <w:sz w:val="21"/>
                <w:szCs w:val="21"/>
              </w:rPr>
            </w:pPr>
            <w:r>
              <w:rPr>
                <w:rFonts w:ascii="Tahoma" w:hAnsi="Tahoma" w:cs="Tahoma"/>
                <w:b/>
                <w:sz w:val="21"/>
                <w:szCs w:val="21"/>
              </w:rPr>
              <w:t>Key Deliverables</w:t>
            </w:r>
          </w:p>
        </w:tc>
        <w:tc>
          <w:tcPr>
            <w:tcW w:w="3969" w:type="pct"/>
            <w:tcBorders>
              <w:top w:val="single" w:sz="4" w:space="0" w:color="auto"/>
              <w:left w:val="single" w:sz="4" w:space="0" w:color="auto"/>
              <w:bottom w:val="single" w:sz="4" w:space="0" w:color="auto"/>
              <w:right w:val="single" w:sz="4" w:space="0" w:color="auto"/>
            </w:tcBorders>
          </w:tcPr>
          <w:p w14:paraId="77A3BED9" w14:textId="77777777" w:rsidR="001E659C" w:rsidRPr="001E659C" w:rsidRDefault="001E659C" w:rsidP="001E659C">
            <w:pPr>
              <w:pStyle w:val="ListParagraph"/>
              <w:numPr>
                <w:ilvl w:val="0"/>
                <w:numId w:val="38"/>
              </w:numPr>
              <w:pBdr>
                <w:top w:val="nil"/>
                <w:left w:val="nil"/>
                <w:bottom w:val="nil"/>
                <w:right w:val="nil"/>
                <w:between w:val="nil"/>
                <w:bar w:val="nil"/>
              </w:pBdr>
              <w:spacing w:before="120" w:after="120" w:line="259" w:lineRule="auto"/>
              <w:jc w:val="both"/>
              <w:rPr>
                <w:rFonts w:ascii="Tahoma" w:hAnsi="Tahoma" w:cs="Tahoma"/>
                <w:sz w:val="21"/>
                <w:szCs w:val="21"/>
              </w:rPr>
            </w:pPr>
            <w:r w:rsidRPr="001E659C">
              <w:rPr>
                <w:rFonts w:ascii="Tahoma" w:hAnsi="Tahoma" w:cs="Tahoma"/>
                <w:sz w:val="21"/>
                <w:szCs w:val="21"/>
              </w:rPr>
              <w:t>A single, robust and trusted financial view of the business, supporting Executive, Board and stakeholder decision‑making.</w:t>
            </w:r>
          </w:p>
          <w:p w14:paraId="5FDD7634" w14:textId="77777777" w:rsidR="001E659C" w:rsidRPr="001E659C" w:rsidRDefault="001E659C" w:rsidP="001E659C">
            <w:pPr>
              <w:pStyle w:val="ListParagraph"/>
              <w:numPr>
                <w:ilvl w:val="0"/>
                <w:numId w:val="38"/>
              </w:numPr>
              <w:pBdr>
                <w:top w:val="nil"/>
                <w:left w:val="nil"/>
                <w:bottom w:val="nil"/>
                <w:right w:val="nil"/>
                <w:between w:val="nil"/>
                <w:bar w:val="nil"/>
              </w:pBdr>
              <w:spacing w:before="120" w:after="120" w:line="259" w:lineRule="auto"/>
              <w:jc w:val="both"/>
              <w:rPr>
                <w:rFonts w:ascii="Tahoma" w:hAnsi="Tahoma" w:cs="Tahoma"/>
                <w:sz w:val="21"/>
                <w:szCs w:val="21"/>
              </w:rPr>
            </w:pPr>
            <w:r w:rsidRPr="001E659C">
              <w:rPr>
                <w:rFonts w:ascii="Tahoma" w:hAnsi="Tahoma" w:cs="Tahoma"/>
                <w:sz w:val="21"/>
                <w:szCs w:val="21"/>
              </w:rPr>
              <w:t>Clearly articulated and tracked financial outcomes aligned to strategic priorities, including EBITDA growth, cash generation and margin improvement.</w:t>
            </w:r>
          </w:p>
          <w:p w14:paraId="4E0C8DF8" w14:textId="77777777" w:rsidR="001E659C" w:rsidRPr="001E659C" w:rsidRDefault="001E659C" w:rsidP="001E659C">
            <w:pPr>
              <w:pStyle w:val="ListParagraph"/>
              <w:numPr>
                <w:ilvl w:val="0"/>
                <w:numId w:val="38"/>
              </w:numPr>
              <w:pBdr>
                <w:top w:val="nil"/>
                <w:left w:val="nil"/>
                <w:bottom w:val="nil"/>
                <w:right w:val="nil"/>
                <w:between w:val="nil"/>
                <w:bar w:val="nil"/>
              </w:pBdr>
              <w:spacing w:before="120" w:after="120" w:line="259" w:lineRule="auto"/>
              <w:jc w:val="both"/>
              <w:rPr>
                <w:rFonts w:ascii="Tahoma" w:hAnsi="Tahoma" w:cs="Tahoma"/>
                <w:sz w:val="21"/>
                <w:szCs w:val="21"/>
              </w:rPr>
            </w:pPr>
            <w:r w:rsidRPr="001E659C">
              <w:rPr>
                <w:rFonts w:ascii="Tahoma" w:hAnsi="Tahoma" w:cs="Tahoma"/>
                <w:sz w:val="21"/>
                <w:szCs w:val="21"/>
              </w:rPr>
              <w:t xml:space="preserve">High‑quality financial models, business cases and scenario analysis underpinning investment, M&amp;A and </w:t>
            </w:r>
            <w:proofErr w:type="spellStart"/>
            <w:r w:rsidRPr="001E659C">
              <w:rPr>
                <w:rFonts w:ascii="Tahoma" w:hAnsi="Tahoma" w:cs="Tahoma"/>
                <w:sz w:val="21"/>
                <w:szCs w:val="21"/>
              </w:rPr>
              <w:t>CapEx</w:t>
            </w:r>
            <w:proofErr w:type="spellEnd"/>
            <w:r w:rsidRPr="001E659C">
              <w:rPr>
                <w:rFonts w:ascii="Tahoma" w:hAnsi="Tahoma" w:cs="Tahoma"/>
                <w:sz w:val="21"/>
                <w:szCs w:val="21"/>
              </w:rPr>
              <w:t xml:space="preserve"> decisions.</w:t>
            </w:r>
          </w:p>
          <w:p w14:paraId="52AF3E35" w14:textId="77777777" w:rsidR="001E659C" w:rsidRPr="001E659C" w:rsidRDefault="001E659C" w:rsidP="001E659C">
            <w:pPr>
              <w:pStyle w:val="ListParagraph"/>
              <w:numPr>
                <w:ilvl w:val="0"/>
                <w:numId w:val="38"/>
              </w:numPr>
              <w:pBdr>
                <w:top w:val="nil"/>
                <w:left w:val="nil"/>
                <w:bottom w:val="nil"/>
                <w:right w:val="nil"/>
                <w:between w:val="nil"/>
                <w:bar w:val="nil"/>
              </w:pBdr>
              <w:spacing w:before="120" w:after="120" w:line="259" w:lineRule="auto"/>
              <w:jc w:val="both"/>
              <w:rPr>
                <w:rFonts w:ascii="Tahoma" w:hAnsi="Tahoma" w:cs="Tahoma"/>
                <w:sz w:val="21"/>
                <w:szCs w:val="21"/>
              </w:rPr>
            </w:pPr>
            <w:r w:rsidRPr="001E659C">
              <w:rPr>
                <w:rFonts w:ascii="Tahoma" w:hAnsi="Tahoma" w:cs="Tahoma"/>
                <w:sz w:val="21"/>
                <w:szCs w:val="21"/>
              </w:rPr>
              <w:t>Disciplined performance governance with transparent reporting on key operational and financial drivers.</w:t>
            </w:r>
          </w:p>
          <w:p w14:paraId="27F24C4D" w14:textId="77777777" w:rsidR="001E659C" w:rsidRPr="001E659C" w:rsidRDefault="001E659C" w:rsidP="001E659C">
            <w:pPr>
              <w:pStyle w:val="ListParagraph"/>
              <w:numPr>
                <w:ilvl w:val="0"/>
                <w:numId w:val="38"/>
              </w:numPr>
              <w:pBdr>
                <w:top w:val="nil"/>
                <w:left w:val="nil"/>
                <w:bottom w:val="nil"/>
                <w:right w:val="nil"/>
                <w:between w:val="nil"/>
                <w:bar w:val="nil"/>
              </w:pBdr>
              <w:spacing w:before="120" w:after="120" w:line="259" w:lineRule="auto"/>
              <w:jc w:val="both"/>
              <w:rPr>
                <w:rFonts w:ascii="Tahoma" w:hAnsi="Tahoma" w:cs="Tahoma"/>
                <w:sz w:val="21"/>
                <w:szCs w:val="21"/>
              </w:rPr>
            </w:pPr>
            <w:r w:rsidRPr="001E659C">
              <w:rPr>
                <w:rFonts w:ascii="Tahoma" w:hAnsi="Tahoma" w:cs="Tahoma"/>
                <w:sz w:val="21"/>
                <w:szCs w:val="21"/>
              </w:rPr>
              <w:t>Strengthened confidence in the quality, consistency and integrity of financial data across the organisation.</w:t>
            </w:r>
          </w:p>
          <w:p w14:paraId="7824DF9F" w14:textId="048F9ACB" w:rsidR="00740764" w:rsidRPr="00CD1AF7" w:rsidRDefault="001E659C" w:rsidP="001E659C">
            <w:pPr>
              <w:pStyle w:val="ListParagraph"/>
              <w:numPr>
                <w:ilvl w:val="0"/>
                <w:numId w:val="38"/>
              </w:numPr>
              <w:pBdr>
                <w:top w:val="nil"/>
                <w:left w:val="nil"/>
                <w:bottom w:val="nil"/>
                <w:right w:val="nil"/>
                <w:between w:val="nil"/>
                <w:bar w:val="nil"/>
              </w:pBdr>
              <w:spacing w:before="120" w:after="120" w:line="259" w:lineRule="auto"/>
              <w:jc w:val="both"/>
              <w:rPr>
                <w:rFonts w:ascii="Open Sans" w:hAnsi="Open Sans" w:cs="Open Sans"/>
                <w:sz w:val="20"/>
                <w:szCs w:val="20"/>
              </w:rPr>
            </w:pPr>
            <w:r w:rsidRPr="001E659C">
              <w:rPr>
                <w:rFonts w:ascii="Tahoma" w:hAnsi="Tahoma" w:cs="Tahoma"/>
                <w:sz w:val="21"/>
                <w:szCs w:val="21"/>
              </w:rPr>
              <w:t xml:space="preserve">Effective translation of strategy into measurable, delivered financial results across Finance, </w:t>
            </w:r>
            <w:r>
              <w:rPr>
                <w:rFonts w:ascii="Tahoma" w:hAnsi="Tahoma" w:cs="Tahoma"/>
                <w:sz w:val="21"/>
                <w:szCs w:val="21"/>
              </w:rPr>
              <w:t xml:space="preserve">Commercial and </w:t>
            </w:r>
            <w:r w:rsidRPr="001E659C">
              <w:rPr>
                <w:rFonts w:ascii="Tahoma" w:hAnsi="Tahoma" w:cs="Tahoma"/>
                <w:sz w:val="21"/>
                <w:szCs w:val="21"/>
              </w:rPr>
              <w:t>Operations teams.</w:t>
            </w:r>
          </w:p>
        </w:tc>
      </w:tr>
      <w:tr w:rsidR="0020438E" w:rsidRPr="00025D3C" w14:paraId="1BA53CE9" w14:textId="77777777" w:rsidTr="00317335">
        <w:trPr>
          <w:trHeight w:val="982"/>
        </w:trPr>
        <w:tc>
          <w:tcPr>
            <w:tcW w:w="1031" w:type="pct"/>
            <w:tcBorders>
              <w:top w:val="single" w:sz="4" w:space="0" w:color="auto"/>
              <w:left w:val="single" w:sz="4" w:space="0" w:color="auto"/>
              <w:bottom w:val="single" w:sz="4" w:space="0" w:color="auto"/>
              <w:right w:val="single" w:sz="4" w:space="0" w:color="auto"/>
            </w:tcBorders>
          </w:tcPr>
          <w:p w14:paraId="1672373A" w14:textId="0BCF4FD8" w:rsidR="0020438E" w:rsidRPr="00025D3C" w:rsidRDefault="00FC3B6E" w:rsidP="00751518">
            <w:pPr>
              <w:spacing w:before="120" w:after="120"/>
              <w:rPr>
                <w:rFonts w:ascii="Tahoma" w:hAnsi="Tahoma" w:cs="Tahoma"/>
                <w:b/>
                <w:sz w:val="21"/>
                <w:szCs w:val="21"/>
              </w:rPr>
            </w:pPr>
            <w:r>
              <w:rPr>
                <w:rFonts w:ascii="Tahoma" w:hAnsi="Tahoma" w:cs="Tahoma"/>
                <w:b/>
                <w:sz w:val="21"/>
                <w:szCs w:val="21"/>
              </w:rPr>
              <w:t>Key Accountabilities</w:t>
            </w:r>
          </w:p>
        </w:tc>
        <w:tc>
          <w:tcPr>
            <w:tcW w:w="3969" w:type="pct"/>
            <w:tcBorders>
              <w:top w:val="single" w:sz="4" w:space="0" w:color="auto"/>
              <w:left w:val="single" w:sz="4" w:space="0" w:color="auto"/>
              <w:bottom w:val="single" w:sz="4" w:space="0" w:color="auto"/>
              <w:right w:val="single" w:sz="4" w:space="0" w:color="auto"/>
            </w:tcBorders>
          </w:tcPr>
          <w:p w14:paraId="1BEB5ECB" w14:textId="77777777" w:rsidR="005C6C6B" w:rsidRPr="005C6C6B" w:rsidRDefault="005C6C6B" w:rsidP="005C6C6B">
            <w:pPr>
              <w:spacing w:before="120" w:after="120" w:line="259" w:lineRule="auto"/>
              <w:jc w:val="both"/>
              <w:rPr>
                <w:rFonts w:ascii="Tahoma" w:hAnsi="Tahoma" w:cs="Tahoma"/>
                <w:b/>
                <w:bCs/>
                <w:sz w:val="21"/>
                <w:szCs w:val="21"/>
                <w:lang w:val="en-GB"/>
              </w:rPr>
            </w:pPr>
            <w:r w:rsidRPr="005C6C6B">
              <w:rPr>
                <w:rFonts w:ascii="Tahoma" w:hAnsi="Tahoma" w:cs="Tahoma"/>
                <w:b/>
                <w:bCs/>
                <w:sz w:val="21"/>
                <w:szCs w:val="21"/>
                <w:lang w:val="en-GB"/>
              </w:rPr>
              <w:t>Strategic Finance &amp; Value Creation</w:t>
            </w:r>
          </w:p>
          <w:p w14:paraId="366F00A2" w14:textId="23E66AEC" w:rsidR="005C6C6B" w:rsidRPr="005C6C6B" w:rsidRDefault="005C6C6B" w:rsidP="005C6C6B">
            <w:pPr>
              <w:pStyle w:val="ListParagraph"/>
              <w:numPr>
                <w:ilvl w:val="0"/>
                <w:numId w:val="38"/>
              </w:numPr>
              <w:spacing w:before="120" w:after="120" w:line="259" w:lineRule="auto"/>
              <w:jc w:val="both"/>
              <w:rPr>
                <w:rFonts w:ascii="Tahoma" w:hAnsi="Tahoma" w:cs="Tahoma"/>
                <w:sz w:val="21"/>
                <w:szCs w:val="21"/>
              </w:rPr>
            </w:pPr>
            <w:r w:rsidRPr="005C6C6B">
              <w:rPr>
                <w:rFonts w:ascii="Tahoma" w:hAnsi="Tahoma" w:cs="Tahoma"/>
                <w:sz w:val="21"/>
                <w:szCs w:val="21"/>
              </w:rPr>
              <w:t xml:space="preserve">Translate organisational strategy into quantified financial targets, milestones and accountabilities at Group, Region and </w:t>
            </w:r>
            <w:r>
              <w:rPr>
                <w:rFonts w:ascii="Tahoma" w:hAnsi="Tahoma" w:cs="Tahoma"/>
                <w:sz w:val="21"/>
                <w:szCs w:val="21"/>
              </w:rPr>
              <w:t>Home</w:t>
            </w:r>
            <w:r w:rsidRPr="005C6C6B">
              <w:rPr>
                <w:rFonts w:ascii="Tahoma" w:hAnsi="Tahoma" w:cs="Tahoma"/>
                <w:sz w:val="21"/>
                <w:szCs w:val="21"/>
              </w:rPr>
              <w:t xml:space="preserve"> level.</w:t>
            </w:r>
          </w:p>
          <w:p w14:paraId="5B7819CC" w14:textId="77777777" w:rsidR="005C6C6B" w:rsidRPr="005C6C6B" w:rsidRDefault="005C6C6B" w:rsidP="005C6C6B">
            <w:pPr>
              <w:pStyle w:val="ListParagraph"/>
              <w:numPr>
                <w:ilvl w:val="0"/>
                <w:numId w:val="38"/>
              </w:numPr>
              <w:spacing w:before="120" w:after="120" w:line="259" w:lineRule="auto"/>
              <w:jc w:val="both"/>
              <w:rPr>
                <w:rFonts w:ascii="Tahoma" w:hAnsi="Tahoma" w:cs="Tahoma"/>
                <w:sz w:val="21"/>
                <w:szCs w:val="21"/>
              </w:rPr>
            </w:pPr>
            <w:r w:rsidRPr="005C6C6B">
              <w:rPr>
                <w:rFonts w:ascii="Tahoma" w:hAnsi="Tahoma" w:cs="Tahoma"/>
                <w:sz w:val="21"/>
                <w:szCs w:val="21"/>
              </w:rPr>
              <w:t>Identify, evaluate and track value creation initiatives, ensuring operational actions convert into sustainable EBITDA and cashflow.</w:t>
            </w:r>
          </w:p>
          <w:p w14:paraId="298283DF" w14:textId="0B28ABB5" w:rsidR="005C6C6B" w:rsidRPr="005C6C6B" w:rsidRDefault="005C6C6B" w:rsidP="005C6C6B">
            <w:pPr>
              <w:pStyle w:val="ListParagraph"/>
              <w:numPr>
                <w:ilvl w:val="0"/>
                <w:numId w:val="38"/>
              </w:numPr>
              <w:spacing w:before="120" w:after="120" w:line="259" w:lineRule="auto"/>
              <w:jc w:val="both"/>
              <w:rPr>
                <w:rFonts w:ascii="Tahoma" w:hAnsi="Tahoma" w:cs="Tahoma"/>
                <w:sz w:val="21"/>
                <w:szCs w:val="21"/>
              </w:rPr>
            </w:pPr>
            <w:r w:rsidRPr="005C6C6B">
              <w:rPr>
                <w:rFonts w:ascii="Tahoma" w:hAnsi="Tahoma" w:cs="Tahoma"/>
                <w:sz w:val="21"/>
                <w:szCs w:val="21"/>
              </w:rPr>
              <w:t xml:space="preserve">Act as the senior finance partner to </w:t>
            </w:r>
            <w:r>
              <w:rPr>
                <w:rFonts w:ascii="Tahoma" w:hAnsi="Tahoma" w:cs="Tahoma"/>
                <w:sz w:val="21"/>
                <w:szCs w:val="21"/>
              </w:rPr>
              <w:t xml:space="preserve">Commercial and </w:t>
            </w:r>
            <w:r w:rsidRPr="005C6C6B">
              <w:rPr>
                <w:rFonts w:ascii="Tahoma" w:hAnsi="Tahoma" w:cs="Tahoma"/>
                <w:sz w:val="21"/>
                <w:szCs w:val="21"/>
              </w:rPr>
              <w:t>Operations</w:t>
            </w:r>
            <w:r>
              <w:rPr>
                <w:rFonts w:ascii="Tahoma" w:hAnsi="Tahoma" w:cs="Tahoma"/>
                <w:sz w:val="21"/>
                <w:szCs w:val="21"/>
              </w:rPr>
              <w:t xml:space="preserve"> </w:t>
            </w:r>
            <w:r w:rsidRPr="005C6C6B">
              <w:rPr>
                <w:rFonts w:ascii="Tahoma" w:hAnsi="Tahoma" w:cs="Tahoma"/>
                <w:sz w:val="21"/>
                <w:szCs w:val="21"/>
              </w:rPr>
              <w:t>leadership.</w:t>
            </w:r>
          </w:p>
          <w:p w14:paraId="0F09D6E9" w14:textId="77777777" w:rsidR="005C6C6B" w:rsidRPr="005C6C6B" w:rsidRDefault="005C6C6B" w:rsidP="005C6C6B">
            <w:pPr>
              <w:pStyle w:val="ListParagraph"/>
              <w:numPr>
                <w:ilvl w:val="0"/>
                <w:numId w:val="38"/>
              </w:numPr>
              <w:spacing w:before="120" w:after="120" w:line="259" w:lineRule="auto"/>
              <w:jc w:val="both"/>
              <w:rPr>
                <w:rFonts w:ascii="Tahoma" w:hAnsi="Tahoma" w:cs="Tahoma"/>
                <w:sz w:val="21"/>
                <w:szCs w:val="21"/>
              </w:rPr>
            </w:pPr>
            <w:r w:rsidRPr="005C6C6B">
              <w:rPr>
                <w:rFonts w:ascii="Tahoma" w:hAnsi="Tahoma" w:cs="Tahoma"/>
                <w:sz w:val="21"/>
                <w:szCs w:val="21"/>
              </w:rPr>
              <w:t>Support the CFO in shaping and delivering the medium‑ and long‑term financial strategy.</w:t>
            </w:r>
          </w:p>
          <w:p w14:paraId="07865468" w14:textId="77777777" w:rsidR="005C6C6B" w:rsidRPr="005C6C6B" w:rsidRDefault="005C6C6B" w:rsidP="005C6C6B">
            <w:pPr>
              <w:spacing w:before="120" w:after="120" w:line="259" w:lineRule="auto"/>
              <w:jc w:val="both"/>
              <w:rPr>
                <w:rFonts w:ascii="Tahoma" w:hAnsi="Tahoma" w:cs="Tahoma"/>
                <w:b/>
                <w:bCs/>
                <w:sz w:val="21"/>
                <w:szCs w:val="21"/>
                <w:lang w:val="en-GB"/>
              </w:rPr>
            </w:pPr>
            <w:r w:rsidRPr="005C6C6B">
              <w:rPr>
                <w:rFonts w:ascii="Tahoma" w:hAnsi="Tahoma" w:cs="Tahoma"/>
                <w:b/>
                <w:bCs/>
                <w:sz w:val="21"/>
                <w:szCs w:val="21"/>
                <w:lang w:val="en-GB"/>
              </w:rPr>
              <w:lastRenderedPageBreak/>
              <w:t>Financial Modelling &amp; Insight</w:t>
            </w:r>
          </w:p>
          <w:p w14:paraId="68222979" w14:textId="77777777" w:rsidR="005C6C6B" w:rsidRPr="005C6C6B" w:rsidRDefault="005C6C6B" w:rsidP="005C6C6B">
            <w:pPr>
              <w:pStyle w:val="ListParagraph"/>
              <w:numPr>
                <w:ilvl w:val="0"/>
                <w:numId w:val="39"/>
              </w:numPr>
              <w:spacing w:before="120" w:after="120" w:line="259" w:lineRule="auto"/>
              <w:jc w:val="both"/>
              <w:rPr>
                <w:rFonts w:ascii="Tahoma" w:hAnsi="Tahoma" w:cs="Tahoma"/>
                <w:sz w:val="21"/>
                <w:szCs w:val="21"/>
              </w:rPr>
            </w:pPr>
            <w:r w:rsidRPr="005C6C6B">
              <w:rPr>
                <w:rFonts w:ascii="Tahoma" w:hAnsi="Tahoma" w:cs="Tahoma"/>
                <w:sz w:val="21"/>
                <w:szCs w:val="21"/>
              </w:rPr>
              <w:t>Own and maintain the Group financial model as the single source of truth for forecasting, scenario planning and investment decision‑making.</w:t>
            </w:r>
          </w:p>
          <w:p w14:paraId="019DFB53" w14:textId="59A0AECE" w:rsidR="005C6C6B" w:rsidRPr="005C6C6B" w:rsidRDefault="005C6C6B" w:rsidP="005C6C6B">
            <w:pPr>
              <w:pStyle w:val="ListParagraph"/>
              <w:numPr>
                <w:ilvl w:val="0"/>
                <w:numId w:val="39"/>
              </w:numPr>
              <w:spacing w:before="120" w:after="120" w:line="259" w:lineRule="auto"/>
              <w:jc w:val="both"/>
              <w:rPr>
                <w:rFonts w:ascii="Tahoma" w:hAnsi="Tahoma" w:cs="Tahoma"/>
                <w:sz w:val="21"/>
                <w:szCs w:val="21"/>
              </w:rPr>
            </w:pPr>
            <w:r w:rsidRPr="005C6C6B">
              <w:rPr>
                <w:rFonts w:ascii="Tahoma" w:hAnsi="Tahoma" w:cs="Tahoma"/>
                <w:sz w:val="21"/>
                <w:szCs w:val="21"/>
              </w:rPr>
              <w:t xml:space="preserve">Provide high‑quality financial analysis, modelling and insight to inform </w:t>
            </w:r>
            <w:r>
              <w:rPr>
                <w:rFonts w:ascii="Tahoma" w:hAnsi="Tahoma" w:cs="Tahoma"/>
                <w:sz w:val="21"/>
                <w:szCs w:val="21"/>
              </w:rPr>
              <w:t>SLT</w:t>
            </w:r>
            <w:r w:rsidRPr="005C6C6B">
              <w:rPr>
                <w:rFonts w:ascii="Tahoma" w:hAnsi="Tahoma" w:cs="Tahoma"/>
                <w:sz w:val="21"/>
                <w:szCs w:val="21"/>
              </w:rPr>
              <w:t xml:space="preserve">, Board and </w:t>
            </w:r>
            <w:r>
              <w:rPr>
                <w:rFonts w:ascii="Tahoma" w:hAnsi="Tahoma" w:cs="Tahoma"/>
                <w:sz w:val="21"/>
                <w:szCs w:val="21"/>
              </w:rPr>
              <w:t>S</w:t>
            </w:r>
            <w:r w:rsidRPr="005C6C6B">
              <w:rPr>
                <w:rFonts w:ascii="Tahoma" w:hAnsi="Tahoma" w:cs="Tahoma"/>
                <w:sz w:val="21"/>
                <w:szCs w:val="21"/>
              </w:rPr>
              <w:t>hareholder decision‑making.</w:t>
            </w:r>
          </w:p>
          <w:p w14:paraId="24BF5600" w14:textId="77777777" w:rsidR="005C6C6B" w:rsidRPr="005C6C6B" w:rsidRDefault="005C6C6B" w:rsidP="005C6C6B">
            <w:pPr>
              <w:pStyle w:val="ListParagraph"/>
              <w:numPr>
                <w:ilvl w:val="0"/>
                <w:numId w:val="39"/>
              </w:numPr>
              <w:spacing w:before="120" w:after="120" w:line="259" w:lineRule="auto"/>
              <w:jc w:val="both"/>
              <w:rPr>
                <w:rFonts w:ascii="Tahoma" w:hAnsi="Tahoma" w:cs="Tahoma"/>
                <w:sz w:val="21"/>
                <w:szCs w:val="21"/>
              </w:rPr>
            </w:pPr>
            <w:r w:rsidRPr="005C6C6B">
              <w:rPr>
                <w:rFonts w:ascii="Tahoma" w:hAnsi="Tahoma" w:cs="Tahoma"/>
                <w:sz w:val="21"/>
                <w:szCs w:val="21"/>
              </w:rPr>
              <w:t>Lead the development of business cases for strategic initiatives, capital projects and transformation activity.</w:t>
            </w:r>
          </w:p>
          <w:p w14:paraId="5B531657" w14:textId="77777777" w:rsidR="005C6C6B" w:rsidRPr="005C6C6B" w:rsidRDefault="005C6C6B" w:rsidP="005C6C6B">
            <w:pPr>
              <w:spacing w:before="120" w:after="120" w:line="259" w:lineRule="auto"/>
              <w:jc w:val="both"/>
              <w:rPr>
                <w:rFonts w:ascii="Tahoma" w:hAnsi="Tahoma" w:cs="Tahoma"/>
                <w:b/>
                <w:bCs/>
                <w:sz w:val="21"/>
                <w:szCs w:val="21"/>
                <w:lang w:val="en-GB"/>
              </w:rPr>
            </w:pPr>
            <w:r w:rsidRPr="005C6C6B">
              <w:rPr>
                <w:rFonts w:ascii="Tahoma" w:hAnsi="Tahoma" w:cs="Tahoma"/>
                <w:b/>
                <w:bCs/>
                <w:sz w:val="21"/>
                <w:szCs w:val="21"/>
                <w:lang w:val="en-GB"/>
              </w:rPr>
              <w:t>Performance Governance &amp; Data Integrity</w:t>
            </w:r>
          </w:p>
          <w:p w14:paraId="434DF5FB" w14:textId="77777777" w:rsidR="005C6C6B" w:rsidRPr="005C6C6B" w:rsidRDefault="005C6C6B" w:rsidP="005C6C6B">
            <w:pPr>
              <w:pStyle w:val="ListParagraph"/>
              <w:numPr>
                <w:ilvl w:val="0"/>
                <w:numId w:val="40"/>
              </w:numPr>
              <w:spacing w:before="120" w:after="120" w:line="259" w:lineRule="auto"/>
              <w:jc w:val="both"/>
              <w:rPr>
                <w:rFonts w:ascii="Tahoma" w:hAnsi="Tahoma" w:cs="Tahoma"/>
                <w:sz w:val="21"/>
                <w:szCs w:val="21"/>
              </w:rPr>
            </w:pPr>
            <w:r w:rsidRPr="005C6C6B">
              <w:rPr>
                <w:rFonts w:ascii="Tahoma" w:hAnsi="Tahoma" w:cs="Tahoma"/>
                <w:sz w:val="21"/>
                <w:szCs w:val="21"/>
              </w:rPr>
              <w:t>Strengthen monthly performance governance through consistent, transparent reporting and dashboards.</w:t>
            </w:r>
          </w:p>
          <w:p w14:paraId="20E27507" w14:textId="2EFE168E" w:rsidR="005C6C6B" w:rsidRPr="005C6C6B" w:rsidRDefault="005C6C6B" w:rsidP="005C6C6B">
            <w:pPr>
              <w:pStyle w:val="ListParagraph"/>
              <w:numPr>
                <w:ilvl w:val="0"/>
                <w:numId w:val="40"/>
              </w:numPr>
              <w:spacing w:before="120" w:after="120" w:line="259" w:lineRule="auto"/>
              <w:jc w:val="both"/>
              <w:rPr>
                <w:rFonts w:ascii="Tahoma" w:hAnsi="Tahoma" w:cs="Tahoma"/>
                <w:sz w:val="21"/>
                <w:szCs w:val="21"/>
              </w:rPr>
            </w:pPr>
            <w:r w:rsidRPr="005C6C6B">
              <w:rPr>
                <w:rFonts w:ascii="Tahoma" w:hAnsi="Tahoma" w:cs="Tahoma"/>
                <w:sz w:val="21"/>
                <w:szCs w:val="21"/>
              </w:rPr>
              <w:t xml:space="preserve">Ensure clarity and discipline around key performance drivers including EBITDA, </w:t>
            </w:r>
            <w:r>
              <w:rPr>
                <w:rFonts w:ascii="Tahoma" w:hAnsi="Tahoma" w:cs="Tahoma"/>
                <w:sz w:val="21"/>
                <w:szCs w:val="21"/>
              </w:rPr>
              <w:t>O</w:t>
            </w:r>
            <w:r w:rsidRPr="005C6C6B">
              <w:rPr>
                <w:rFonts w:ascii="Tahoma" w:hAnsi="Tahoma" w:cs="Tahoma"/>
                <w:sz w:val="21"/>
                <w:szCs w:val="21"/>
              </w:rPr>
              <w:t xml:space="preserve">ccupancy, </w:t>
            </w:r>
            <w:r>
              <w:rPr>
                <w:rFonts w:ascii="Tahoma" w:hAnsi="Tahoma" w:cs="Tahoma"/>
                <w:sz w:val="21"/>
                <w:szCs w:val="21"/>
              </w:rPr>
              <w:t>P</w:t>
            </w:r>
            <w:r w:rsidRPr="005C6C6B">
              <w:rPr>
                <w:rFonts w:ascii="Tahoma" w:hAnsi="Tahoma" w:cs="Tahoma"/>
                <w:sz w:val="21"/>
                <w:szCs w:val="21"/>
              </w:rPr>
              <w:t>ricing</w:t>
            </w:r>
            <w:r>
              <w:rPr>
                <w:rFonts w:ascii="Tahoma" w:hAnsi="Tahoma" w:cs="Tahoma"/>
                <w:sz w:val="21"/>
                <w:szCs w:val="21"/>
              </w:rPr>
              <w:t>, and Support Overhead</w:t>
            </w:r>
            <w:r w:rsidRPr="005C6C6B">
              <w:rPr>
                <w:rFonts w:ascii="Tahoma" w:hAnsi="Tahoma" w:cs="Tahoma"/>
                <w:sz w:val="21"/>
                <w:szCs w:val="21"/>
              </w:rPr>
              <w:t>.</w:t>
            </w:r>
          </w:p>
          <w:p w14:paraId="2AB05507" w14:textId="77777777" w:rsidR="005C6C6B" w:rsidRPr="005C6C6B" w:rsidRDefault="005C6C6B" w:rsidP="005C6C6B">
            <w:pPr>
              <w:pStyle w:val="ListParagraph"/>
              <w:numPr>
                <w:ilvl w:val="0"/>
                <w:numId w:val="40"/>
              </w:numPr>
              <w:spacing w:before="120" w:after="120" w:line="259" w:lineRule="auto"/>
              <w:jc w:val="both"/>
              <w:rPr>
                <w:rFonts w:ascii="Tahoma" w:hAnsi="Tahoma" w:cs="Tahoma"/>
                <w:sz w:val="21"/>
                <w:szCs w:val="21"/>
              </w:rPr>
            </w:pPr>
            <w:r w:rsidRPr="005C6C6B">
              <w:rPr>
                <w:rFonts w:ascii="Tahoma" w:hAnsi="Tahoma" w:cs="Tahoma"/>
                <w:sz w:val="21"/>
                <w:szCs w:val="21"/>
              </w:rPr>
              <w:t>Improve data integrity, auditability and consistency across Finance and Operations, enabling confident internal and external scrutiny.</w:t>
            </w:r>
          </w:p>
          <w:p w14:paraId="49BAABF5" w14:textId="77777777" w:rsidR="005C6C6B" w:rsidRPr="005C6C6B" w:rsidRDefault="005C6C6B" w:rsidP="005C6C6B">
            <w:pPr>
              <w:spacing w:before="120" w:after="120" w:line="259" w:lineRule="auto"/>
              <w:jc w:val="both"/>
              <w:rPr>
                <w:rFonts w:ascii="Tahoma" w:hAnsi="Tahoma" w:cs="Tahoma"/>
                <w:b/>
                <w:bCs/>
                <w:sz w:val="21"/>
                <w:szCs w:val="21"/>
                <w:lang w:val="en-GB"/>
              </w:rPr>
            </w:pPr>
            <w:r w:rsidRPr="005C6C6B">
              <w:rPr>
                <w:rFonts w:ascii="Tahoma" w:hAnsi="Tahoma" w:cs="Tahoma"/>
                <w:b/>
                <w:bCs/>
                <w:sz w:val="21"/>
                <w:szCs w:val="21"/>
                <w:lang w:val="en-GB"/>
              </w:rPr>
              <w:t>M&amp;A and Strategic Transactions</w:t>
            </w:r>
          </w:p>
          <w:p w14:paraId="22210ED7" w14:textId="77777777" w:rsidR="005C6C6B" w:rsidRPr="005C6C6B" w:rsidRDefault="005C6C6B" w:rsidP="005C6C6B">
            <w:pPr>
              <w:pStyle w:val="ListParagraph"/>
              <w:numPr>
                <w:ilvl w:val="0"/>
                <w:numId w:val="41"/>
              </w:numPr>
              <w:spacing w:before="120" w:after="120" w:line="259" w:lineRule="auto"/>
              <w:jc w:val="both"/>
              <w:rPr>
                <w:rFonts w:ascii="Tahoma" w:hAnsi="Tahoma" w:cs="Tahoma"/>
                <w:sz w:val="21"/>
                <w:szCs w:val="21"/>
              </w:rPr>
            </w:pPr>
            <w:r w:rsidRPr="005C6C6B">
              <w:rPr>
                <w:rFonts w:ascii="Tahoma" w:hAnsi="Tahoma" w:cs="Tahoma"/>
                <w:sz w:val="21"/>
                <w:szCs w:val="21"/>
              </w:rPr>
              <w:t xml:space="preserve">Act as the finance lead on bolt‑on acquisitions and disposals, supporting Achieve </w:t>
            </w:r>
            <w:proofErr w:type="spellStart"/>
            <w:r w:rsidRPr="005C6C6B">
              <w:rPr>
                <w:rFonts w:ascii="Tahoma" w:hAnsi="Tahoma" w:cs="Tahoma"/>
                <w:sz w:val="21"/>
                <w:szCs w:val="21"/>
              </w:rPr>
              <w:t>together’s</w:t>
            </w:r>
            <w:proofErr w:type="spellEnd"/>
            <w:r w:rsidRPr="005C6C6B">
              <w:rPr>
                <w:rFonts w:ascii="Tahoma" w:hAnsi="Tahoma" w:cs="Tahoma"/>
                <w:sz w:val="21"/>
                <w:szCs w:val="21"/>
              </w:rPr>
              <w:t xml:space="preserve"> consolidation strategy.</w:t>
            </w:r>
          </w:p>
          <w:p w14:paraId="6943064D" w14:textId="77777777" w:rsidR="005C6C6B" w:rsidRPr="005C6C6B" w:rsidRDefault="005C6C6B" w:rsidP="005C6C6B">
            <w:pPr>
              <w:pStyle w:val="ListParagraph"/>
              <w:numPr>
                <w:ilvl w:val="0"/>
                <w:numId w:val="41"/>
              </w:numPr>
              <w:spacing w:before="120" w:after="120" w:line="259" w:lineRule="auto"/>
              <w:jc w:val="both"/>
              <w:rPr>
                <w:rFonts w:ascii="Tahoma" w:hAnsi="Tahoma" w:cs="Tahoma"/>
                <w:sz w:val="21"/>
                <w:szCs w:val="21"/>
              </w:rPr>
            </w:pPr>
            <w:r w:rsidRPr="005C6C6B">
              <w:rPr>
                <w:rFonts w:ascii="Tahoma" w:hAnsi="Tahoma" w:cs="Tahoma"/>
                <w:sz w:val="21"/>
                <w:szCs w:val="21"/>
              </w:rPr>
              <w:t>Lead valuation analysis, synergy modelling and investment appraisal with appropriate capital discipline.</w:t>
            </w:r>
          </w:p>
          <w:p w14:paraId="4B559AA7" w14:textId="77777777" w:rsidR="005C6C6B" w:rsidRDefault="005C6C6B" w:rsidP="005C6C6B">
            <w:pPr>
              <w:pStyle w:val="ListParagraph"/>
              <w:numPr>
                <w:ilvl w:val="0"/>
                <w:numId w:val="41"/>
              </w:numPr>
              <w:spacing w:before="120" w:after="120" w:line="259" w:lineRule="auto"/>
              <w:jc w:val="both"/>
              <w:rPr>
                <w:rFonts w:ascii="Tahoma" w:hAnsi="Tahoma" w:cs="Tahoma"/>
                <w:sz w:val="21"/>
                <w:szCs w:val="21"/>
              </w:rPr>
            </w:pPr>
            <w:r w:rsidRPr="005C6C6B">
              <w:rPr>
                <w:rFonts w:ascii="Tahoma" w:hAnsi="Tahoma" w:cs="Tahoma"/>
                <w:sz w:val="21"/>
                <w:szCs w:val="21"/>
              </w:rPr>
              <w:t>Track post‑transaction performance and synergy delivery.</w:t>
            </w:r>
          </w:p>
          <w:p w14:paraId="402865AD" w14:textId="5066CBA3" w:rsidR="00095641" w:rsidRPr="005C6C6B" w:rsidRDefault="00095641" w:rsidP="005C6C6B">
            <w:pPr>
              <w:pStyle w:val="ListParagraph"/>
              <w:numPr>
                <w:ilvl w:val="0"/>
                <w:numId w:val="41"/>
              </w:numPr>
              <w:spacing w:before="120" w:after="120" w:line="259" w:lineRule="auto"/>
              <w:jc w:val="both"/>
              <w:rPr>
                <w:rFonts w:ascii="Tahoma" w:hAnsi="Tahoma" w:cs="Tahoma"/>
                <w:sz w:val="21"/>
                <w:szCs w:val="21"/>
              </w:rPr>
            </w:pPr>
            <w:r w:rsidRPr="00095641">
              <w:rPr>
                <w:rFonts w:ascii="Tahoma" w:hAnsi="Tahoma" w:cs="Tahoma"/>
                <w:sz w:val="21"/>
                <w:szCs w:val="21"/>
              </w:rPr>
              <w:t xml:space="preserve">Provide financial leadership on acquisition‑related and organic </w:t>
            </w:r>
            <w:proofErr w:type="spellStart"/>
            <w:r w:rsidRPr="00095641">
              <w:rPr>
                <w:rFonts w:ascii="Tahoma" w:hAnsi="Tahoma" w:cs="Tahoma"/>
                <w:sz w:val="21"/>
                <w:szCs w:val="21"/>
              </w:rPr>
              <w:t>CapEx</w:t>
            </w:r>
            <w:proofErr w:type="spellEnd"/>
            <w:r w:rsidRPr="00095641">
              <w:rPr>
                <w:rFonts w:ascii="Tahoma" w:hAnsi="Tahoma" w:cs="Tahoma"/>
                <w:sz w:val="21"/>
                <w:szCs w:val="21"/>
              </w:rPr>
              <w:t xml:space="preserve"> programmes, including appraisal, prioritisation, funding considerations and post‑investment return tracking to ensure capital is deployed effectively</w:t>
            </w:r>
            <w:r w:rsidR="001E659C">
              <w:rPr>
                <w:rFonts w:ascii="Tahoma" w:hAnsi="Tahoma" w:cs="Tahoma"/>
                <w:sz w:val="21"/>
                <w:szCs w:val="21"/>
              </w:rPr>
              <w:t>.</w:t>
            </w:r>
          </w:p>
          <w:p w14:paraId="2E1ADAFA" w14:textId="77777777" w:rsidR="005C6C6B" w:rsidRPr="005C6C6B" w:rsidRDefault="005C6C6B" w:rsidP="005C6C6B">
            <w:pPr>
              <w:spacing w:before="120" w:after="120" w:line="259" w:lineRule="auto"/>
              <w:jc w:val="both"/>
              <w:rPr>
                <w:rFonts w:ascii="Tahoma" w:hAnsi="Tahoma" w:cs="Tahoma"/>
                <w:b/>
                <w:bCs/>
                <w:sz w:val="21"/>
                <w:szCs w:val="21"/>
                <w:lang w:val="en-GB"/>
              </w:rPr>
            </w:pPr>
            <w:r w:rsidRPr="005C6C6B">
              <w:rPr>
                <w:rFonts w:ascii="Tahoma" w:hAnsi="Tahoma" w:cs="Tahoma"/>
                <w:b/>
                <w:bCs/>
                <w:sz w:val="21"/>
                <w:szCs w:val="21"/>
                <w:lang w:val="en-GB"/>
              </w:rPr>
              <w:t>Exit Readiness &amp; Stakeholder Engagement</w:t>
            </w:r>
          </w:p>
          <w:p w14:paraId="1C608C97" w14:textId="77777777" w:rsidR="005C6C6B" w:rsidRPr="005C6C6B" w:rsidRDefault="005C6C6B" w:rsidP="005C6C6B">
            <w:pPr>
              <w:pStyle w:val="ListParagraph"/>
              <w:numPr>
                <w:ilvl w:val="0"/>
                <w:numId w:val="42"/>
              </w:numPr>
              <w:spacing w:before="120" w:after="120" w:line="259" w:lineRule="auto"/>
              <w:jc w:val="both"/>
              <w:rPr>
                <w:rFonts w:ascii="Tahoma" w:hAnsi="Tahoma" w:cs="Tahoma"/>
                <w:sz w:val="21"/>
                <w:szCs w:val="21"/>
              </w:rPr>
            </w:pPr>
            <w:r w:rsidRPr="005C6C6B">
              <w:rPr>
                <w:rFonts w:ascii="Tahoma" w:hAnsi="Tahoma" w:cs="Tahoma"/>
                <w:sz w:val="21"/>
                <w:szCs w:val="21"/>
              </w:rPr>
              <w:t>Support preparation of a credible equity story and exit‑ready financial narrative.</w:t>
            </w:r>
          </w:p>
          <w:p w14:paraId="3EFE4F0D" w14:textId="77777777" w:rsidR="005C6C6B" w:rsidRPr="005C6C6B" w:rsidRDefault="005C6C6B" w:rsidP="005C6C6B">
            <w:pPr>
              <w:pStyle w:val="ListParagraph"/>
              <w:numPr>
                <w:ilvl w:val="0"/>
                <w:numId w:val="42"/>
              </w:numPr>
              <w:spacing w:before="120" w:after="120" w:line="259" w:lineRule="auto"/>
              <w:jc w:val="both"/>
              <w:rPr>
                <w:rFonts w:ascii="Tahoma" w:hAnsi="Tahoma" w:cs="Tahoma"/>
                <w:sz w:val="21"/>
                <w:szCs w:val="21"/>
              </w:rPr>
            </w:pPr>
            <w:r w:rsidRPr="005C6C6B">
              <w:rPr>
                <w:rFonts w:ascii="Tahoma" w:hAnsi="Tahoma" w:cs="Tahoma"/>
                <w:sz w:val="21"/>
                <w:szCs w:val="21"/>
              </w:rPr>
              <w:t>Ensure financial, operational and data frameworks withstand due diligence and investor scrutiny.</w:t>
            </w:r>
          </w:p>
          <w:p w14:paraId="36BD6A56" w14:textId="3D2B8987" w:rsidR="0001698E" w:rsidRPr="005C6C6B" w:rsidRDefault="005C6C6B" w:rsidP="005C6C6B">
            <w:pPr>
              <w:pStyle w:val="ListParagraph"/>
              <w:numPr>
                <w:ilvl w:val="0"/>
                <w:numId w:val="42"/>
              </w:numPr>
              <w:spacing w:before="120" w:after="120" w:line="259" w:lineRule="auto"/>
              <w:jc w:val="both"/>
              <w:rPr>
                <w:rFonts w:ascii="Tahoma" w:hAnsi="Tahoma" w:cs="Tahoma"/>
                <w:sz w:val="21"/>
                <w:szCs w:val="21"/>
              </w:rPr>
            </w:pPr>
            <w:r w:rsidRPr="005C6C6B">
              <w:rPr>
                <w:rFonts w:ascii="Tahoma" w:hAnsi="Tahoma" w:cs="Tahoma"/>
                <w:sz w:val="21"/>
                <w:szCs w:val="21"/>
              </w:rPr>
              <w:t>Support the CFO in engagement with investors, lenders and external advisors.</w:t>
            </w:r>
          </w:p>
        </w:tc>
      </w:tr>
    </w:tbl>
    <w:p w14:paraId="7174EDD0" w14:textId="08C67899" w:rsidR="001A79D0" w:rsidRDefault="001A79D0" w:rsidP="001A79D0">
      <w:pPr>
        <w:ind w:left="-105"/>
        <w:rPr>
          <w:rFonts w:ascii="Tahoma" w:hAnsi="Tahoma" w:cs="Tahoma"/>
          <w:b/>
          <w:color w:val="1947BA"/>
          <w:sz w:val="22"/>
          <w:szCs w:val="22"/>
        </w:rPr>
      </w:pPr>
      <w:r>
        <w:rPr>
          <w:rFonts w:ascii="Tahoma" w:hAnsi="Tahoma" w:cs="Tahoma"/>
          <w:b/>
          <w:color w:val="1947BA"/>
          <w:sz w:val="22"/>
          <w:szCs w:val="22"/>
        </w:rPr>
        <w:lastRenderedPageBreak/>
        <w:br/>
      </w:r>
    </w:p>
    <w:p w14:paraId="08B18DC4" w14:textId="577CFFFA" w:rsidR="001A79D0" w:rsidRPr="00025D3C" w:rsidRDefault="001A79D0" w:rsidP="001A79D0">
      <w:pPr>
        <w:ind w:left="-105"/>
        <w:rPr>
          <w:rFonts w:ascii="Tahoma" w:hAnsi="Tahoma" w:cs="Tahoma"/>
          <w:b/>
          <w:color w:val="1947BA"/>
          <w:sz w:val="22"/>
          <w:szCs w:val="22"/>
        </w:rPr>
      </w:pPr>
      <w:r w:rsidRPr="00025D3C">
        <w:rPr>
          <w:rFonts w:ascii="Tahoma" w:hAnsi="Tahoma" w:cs="Tahoma"/>
          <w:b/>
          <w:color w:val="1947BA"/>
          <w:sz w:val="22"/>
          <w:szCs w:val="22"/>
        </w:rPr>
        <w:t>PERSON SPECIFICATION</w:t>
      </w:r>
    </w:p>
    <w:p w14:paraId="03AF3E5D" w14:textId="77777777" w:rsidR="0020438E" w:rsidRPr="00D6012C" w:rsidRDefault="0020438E" w:rsidP="0020438E">
      <w:pPr>
        <w:spacing w:line="280" w:lineRule="atLeast"/>
        <w:rPr>
          <w:rFonts w:ascii="Tahoma" w:eastAsia="Times New Roman" w:hAnsi="Tahoma" w:cs="Tahoma"/>
          <w:b/>
          <w:sz w:val="20"/>
          <w:szCs w:val="20"/>
          <w:highlight w:val="yellow"/>
        </w:rPr>
      </w:pPr>
    </w:p>
    <w:tbl>
      <w:tblPr>
        <w:tblW w:w="9632" w:type="dxa"/>
        <w:tblInd w:w="-5" w:type="dxa"/>
        <w:tblLook w:val="04A0" w:firstRow="1" w:lastRow="0" w:firstColumn="1" w:lastColumn="0" w:noHBand="0" w:noVBand="1"/>
      </w:tblPr>
      <w:tblGrid>
        <w:gridCol w:w="2098"/>
        <w:gridCol w:w="7534"/>
      </w:tblGrid>
      <w:tr w:rsidR="00EC55AB" w:rsidRPr="00AA5EC1" w14:paraId="2CE78C0D" w14:textId="77777777" w:rsidTr="001A79D0">
        <w:tc>
          <w:tcPr>
            <w:tcW w:w="2098" w:type="dxa"/>
            <w:tcBorders>
              <w:top w:val="single" w:sz="4" w:space="0" w:color="auto"/>
              <w:left w:val="single" w:sz="4" w:space="0" w:color="auto"/>
              <w:bottom w:val="single" w:sz="4" w:space="0" w:color="auto"/>
              <w:right w:val="single" w:sz="4" w:space="0" w:color="auto"/>
            </w:tcBorders>
          </w:tcPr>
          <w:p w14:paraId="239D9A22" w14:textId="42653ABE" w:rsidR="0020438E" w:rsidRPr="00AA5EC1" w:rsidRDefault="005B3FC9" w:rsidP="003107BD">
            <w:pPr>
              <w:spacing w:before="120" w:after="120"/>
              <w:rPr>
                <w:rFonts w:ascii="Aptos" w:hAnsi="Aptos" w:cs="Tahoma"/>
                <w:b/>
              </w:rPr>
            </w:pPr>
            <w:r w:rsidRPr="00AA5EC1">
              <w:rPr>
                <w:rFonts w:ascii="Aptos" w:hAnsi="Aptos" w:cs="Tahoma"/>
                <w:b/>
              </w:rPr>
              <w:t>Knowledge and Experience</w:t>
            </w:r>
          </w:p>
          <w:p w14:paraId="702ECEFC" w14:textId="77777777" w:rsidR="0020438E" w:rsidRPr="00AA5EC1" w:rsidRDefault="0020438E" w:rsidP="00F404E1">
            <w:pPr>
              <w:spacing w:before="120" w:after="60" w:line="259" w:lineRule="auto"/>
              <w:jc w:val="both"/>
              <w:rPr>
                <w:rFonts w:ascii="Aptos" w:hAnsi="Aptos" w:cs="Tahoma"/>
              </w:rPr>
            </w:pPr>
          </w:p>
          <w:p w14:paraId="4EC78212" w14:textId="77777777" w:rsidR="0020438E" w:rsidRPr="00AA5EC1" w:rsidRDefault="0020438E" w:rsidP="00F404E1">
            <w:pPr>
              <w:spacing w:before="120" w:after="60" w:line="259" w:lineRule="auto"/>
              <w:jc w:val="both"/>
              <w:rPr>
                <w:rFonts w:ascii="Aptos" w:hAnsi="Aptos" w:cs="Tahoma"/>
              </w:rPr>
            </w:pPr>
          </w:p>
          <w:p w14:paraId="56D5D55D" w14:textId="77777777" w:rsidR="0020438E" w:rsidRPr="00AA5EC1" w:rsidRDefault="0020438E" w:rsidP="00F404E1">
            <w:pPr>
              <w:spacing w:before="120" w:after="60" w:line="259" w:lineRule="auto"/>
              <w:jc w:val="both"/>
              <w:rPr>
                <w:rFonts w:ascii="Aptos" w:hAnsi="Aptos" w:cs="Tahoma"/>
              </w:rPr>
            </w:pPr>
          </w:p>
          <w:p w14:paraId="64672F0B" w14:textId="77777777" w:rsidR="0020438E" w:rsidRPr="00AA5EC1" w:rsidRDefault="0020438E" w:rsidP="00F404E1">
            <w:pPr>
              <w:spacing w:before="120" w:after="60" w:line="259" w:lineRule="auto"/>
              <w:jc w:val="both"/>
              <w:rPr>
                <w:rFonts w:ascii="Aptos" w:hAnsi="Aptos" w:cs="Tahoma"/>
              </w:rPr>
            </w:pPr>
          </w:p>
        </w:tc>
        <w:tc>
          <w:tcPr>
            <w:tcW w:w="7534" w:type="dxa"/>
            <w:tcBorders>
              <w:top w:val="single" w:sz="4" w:space="0" w:color="auto"/>
              <w:left w:val="single" w:sz="4" w:space="0" w:color="auto"/>
              <w:bottom w:val="single" w:sz="4" w:space="0" w:color="auto"/>
              <w:right w:val="single" w:sz="4" w:space="0" w:color="auto"/>
            </w:tcBorders>
          </w:tcPr>
          <w:p w14:paraId="116FFA75" w14:textId="77777777" w:rsidR="005C6C6B" w:rsidRPr="005C6C6B" w:rsidRDefault="005C6C6B" w:rsidP="005C6C6B">
            <w:pPr>
              <w:shd w:val="clear" w:color="auto" w:fill="FFFFFF"/>
              <w:spacing w:before="100" w:beforeAutospacing="1" w:after="100" w:afterAutospacing="1"/>
              <w:contextualSpacing/>
              <w:rPr>
                <w:rFonts w:ascii="Tahoma" w:hAnsi="Tahoma" w:cs="Tahoma"/>
                <w:color w:val="262626" w:themeColor="text1" w:themeTint="D9"/>
                <w:sz w:val="21"/>
                <w:szCs w:val="21"/>
              </w:rPr>
            </w:pPr>
          </w:p>
          <w:p w14:paraId="0FE82297" w14:textId="77777777" w:rsidR="005C6C6B" w:rsidRPr="005C6C6B" w:rsidRDefault="005C6C6B" w:rsidP="005C6C6B">
            <w:pPr>
              <w:shd w:val="clear" w:color="auto" w:fill="FFFFFF"/>
              <w:spacing w:before="100" w:beforeAutospacing="1" w:after="100" w:afterAutospacing="1"/>
              <w:contextualSpacing/>
              <w:rPr>
                <w:rFonts w:ascii="Tahoma" w:hAnsi="Tahoma" w:cs="Tahoma"/>
                <w:b/>
                <w:bCs/>
                <w:color w:val="262626" w:themeColor="text1" w:themeTint="D9"/>
                <w:sz w:val="21"/>
                <w:szCs w:val="21"/>
              </w:rPr>
            </w:pPr>
            <w:r w:rsidRPr="005C6C6B">
              <w:rPr>
                <w:rFonts w:ascii="Tahoma" w:hAnsi="Tahoma" w:cs="Tahoma"/>
                <w:b/>
                <w:bCs/>
                <w:color w:val="262626" w:themeColor="text1" w:themeTint="D9"/>
                <w:sz w:val="21"/>
                <w:szCs w:val="21"/>
              </w:rPr>
              <w:t>Experience &amp; Qualifications</w:t>
            </w:r>
          </w:p>
          <w:p w14:paraId="704295E1" w14:textId="77777777" w:rsidR="005C6C6B" w:rsidRPr="001E659C" w:rsidRDefault="005C6C6B" w:rsidP="001E659C">
            <w:pPr>
              <w:pStyle w:val="ListParagraph"/>
              <w:numPr>
                <w:ilvl w:val="0"/>
                <w:numId w:val="41"/>
              </w:numPr>
              <w:spacing w:before="120" w:after="120" w:line="259" w:lineRule="auto"/>
              <w:jc w:val="both"/>
              <w:rPr>
                <w:rFonts w:ascii="Tahoma" w:hAnsi="Tahoma" w:cs="Tahoma"/>
                <w:sz w:val="21"/>
                <w:szCs w:val="21"/>
              </w:rPr>
            </w:pPr>
            <w:r w:rsidRPr="001E659C">
              <w:rPr>
                <w:rFonts w:ascii="Tahoma" w:hAnsi="Tahoma" w:cs="Tahoma"/>
                <w:sz w:val="21"/>
                <w:szCs w:val="21"/>
              </w:rPr>
              <w:t>Qualified accountant (ACA, ACCA, CIMA or equivalent).</w:t>
            </w:r>
          </w:p>
          <w:p w14:paraId="457CC143" w14:textId="77777777" w:rsidR="005C6C6B" w:rsidRPr="001E659C" w:rsidRDefault="005C6C6B" w:rsidP="001E659C">
            <w:pPr>
              <w:pStyle w:val="ListParagraph"/>
              <w:numPr>
                <w:ilvl w:val="0"/>
                <w:numId w:val="41"/>
              </w:numPr>
              <w:spacing w:before="120" w:after="120" w:line="259" w:lineRule="auto"/>
              <w:jc w:val="both"/>
              <w:rPr>
                <w:rFonts w:ascii="Tahoma" w:hAnsi="Tahoma" w:cs="Tahoma"/>
                <w:sz w:val="21"/>
                <w:szCs w:val="21"/>
              </w:rPr>
            </w:pPr>
            <w:r w:rsidRPr="001E659C">
              <w:rPr>
                <w:rFonts w:ascii="Tahoma" w:hAnsi="Tahoma" w:cs="Tahoma"/>
                <w:sz w:val="21"/>
                <w:szCs w:val="21"/>
              </w:rPr>
              <w:t xml:space="preserve">Senior‑level experience in strategic finance, FP&amp;A, corporate </w:t>
            </w:r>
            <w:r w:rsidRPr="001E659C">
              <w:rPr>
                <w:rFonts w:ascii="Tahoma" w:hAnsi="Tahoma" w:cs="Tahoma"/>
                <w:sz w:val="21"/>
                <w:szCs w:val="21"/>
              </w:rPr>
              <w:lastRenderedPageBreak/>
              <w:t>development or similar roles.</w:t>
            </w:r>
          </w:p>
          <w:p w14:paraId="5E0F102A" w14:textId="77777777" w:rsidR="005C6C6B" w:rsidRPr="001E659C" w:rsidRDefault="005C6C6B" w:rsidP="001E659C">
            <w:pPr>
              <w:pStyle w:val="ListParagraph"/>
              <w:numPr>
                <w:ilvl w:val="0"/>
                <w:numId w:val="41"/>
              </w:numPr>
              <w:spacing w:before="120" w:after="120" w:line="259" w:lineRule="auto"/>
              <w:jc w:val="both"/>
              <w:rPr>
                <w:rFonts w:ascii="Tahoma" w:hAnsi="Tahoma" w:cs="Tahoma"/>
                <w:sz w:val="21"/>
                <w:szCs w:val="21"/>
              </w:rPr>
            </w:pPr>
            <w:r w:rsidRPr="001E659C">
              <w:rPr>
                <w:rFonts w:ascii="Tahoma" w:hAnsi="Tahoma" w:cs="Tahoma"/>
                <w:sz w:val="21"/>
                <w:szCs w:val="21"/>
              </w:rPr>
              <w:t xml:space="preserve">Proven ability to translate strategic priorities into financial outcomes, including revenue growth, margin </w:t>
            </w:r>
            <w:proofErr w:type="spellStart"/>
            <w:r w:rsidRPr="001E659C">
              <w:rPr>
                <w:rFonts w:ascii="Tahoma" w:hAnsi="Tahoma" w:cs="Tahoma"/>
                <w:sz w:val="21"/>
                <w:szCs w:val="21"/>
              </w:rPr>
              <w:t>optimisation</w:t>
            </w:r>
            <w:proofErr w:type="spellEnd"/>
            <w:r w:rsidRPr="001E659C">
              <w:rPr>
                <w:rFonts w:ascii="Tahoma" w:hAnsi="Tahoma" w:cs="Tahoma"/>
                <w:sz w:val="21"/>
                <w:szCs w:val="21"/>
              </w:rPr>
              <w:t xml:space="preserve"> and cash generation.</w:t>
            </w:r>
          </w:p>
          <w:p w14:paraId="02EBF986" w14:textId="77777777" w:rsidR="005C6C6B" w:rsidRPr="001E659C" w:rsidRDefault="005C6C6B" w:rsidP="001E659C">
            <w:pPr>
              <w:pStyle w:val="ListParagraph"/>
              <w:numPr>
                <w:ilvl w:val="0"/>
                <w:numId w:val="41"/>
              </w:numPr>
              <w:spacing w:before="120" w:after="120" w:line="259" w:lineRule="auto"/>
              <w:jc w:val="both"/>
              <w:rPr>
                <w:rFonts w:ascii="Tahoma" w:hAnsi="Tahoma" w:cs="Tahoma"/>
                <w:sz w:val="21"/>
                <w:szCs w:val="21"/>
              </w:rPr>
            </w:pPr>
            <w:r w:rsidRPr="001E659C">
              <w:rPr>
                <w:rFonts w:ascii="Tahoma" w:hAnsi="Tahoma" w:cs="Tahoma"/>
                <w:sz w:val="21"/>
                <w:szCs w:val="21"/>
              </w:rPr>
              <w:t>Strong experience in financial modelling, valuation and investment appraisal.</w:t>
            </w:r>
          </w:p>
          <w:p w14:paraId="31D02A20" w14:textId="77777777" w:rsidR="005C6C6B" w:rsidRPr="001E659C" w:rsidRDefault="005C6C6B" w:rsidP="001E659C">
            <w:pPr>
              <w:pStyle w:val="ListParagraph"/>
              <w:numPr>
                <w:ilvl w:val="0"/>
                <w:numId w:val="41"/>
              </w:numPr>
              <w:spacing w:before="120" w:after="120" w:line="259" w:lineRule="auto"/>
              <w:jc w:val="both"/>
              <w:rPr>
                <w:rFonts w:ascii="Tahoma" w:hAnsi="Tahoma" w:cs="Tahoma"/>
                <w:sz w:val="21"/>
                <w:szCs w:val="21"/>
              </w:rPr>
            </w:pPr>
            <w:r w:rsidRPr="001E659C">
              <w:rPr>
                <w:rFonts w:ascii="Tahoma" w:hAnsi="Tahoma" w:cs="Tahoma"/>
                <w:sz w:val="21"/>
                <w:szCs w:val="21"/>
              </w:rPr>
              <w:t>Experience supporting M&amp;A activity and post‑investment performance tracking is highly desirable.</w:t>
            </w:r>
          </w:p>
          <w:p w14:paraId="19ECDA0F" w14:textId="77777777" w:rsidR="005C6C6B" w:rsidRPr="001E659C" w:rsidRDefault="005C6C6B" w:rsidP="001E659C">
            <w:pPr>
              <w:pStyle w:val="ListParagraph"/>
              <w:numPr>
                <w:ilvl w:val="0"/>
                <w:numId w:val="41"/>
              </w:numPr>
              <w:spacing w:before="120" w:after="120" w:line="259" w:lineRule="auto"/>
              <w:jc w:val="both"/>
              <w:rPr>
                <w:rFonts w:ascii="Tahoma" w:hAnsi="Tahoma" w:cs="Tahoma"/>
                <w:sz w:val="21"/>
                <w:szCs w:val="21"/>
              </w:rPr>
            </w:pPr>
            <w:r w:rsidRPr="001E659C">
              <w:rPr>
                <w:rFonts w:ascii="Tahoma" w:hAnsi="Tahoma" w:cs="Tahoma"/>
                <w:sz w:val="21"/>
                <w:szCs w:val="21"/>
              </w:rPr>
              <w:t>Experience operating within complex, contract‑based or publicly funded environments is advantageous.</w:t>
            </w:r>
          </w:p>
          <w:p w14:paraId="04B8922E" w14:textId="53713278" w:rsidR="005C6C6B" w:rsidRPr="005C6C6B" w:rsidRDefault="005C6C6B" w:rsidP="005C6C6B">
            <w:pPr>
              <w:shd w:val="clear" w:color="auto" w:fill="FFFFFF"/>
              <w:spacing w:before="100" w:beforeAutospacing="1" w:after="100" w:afterAutospacing="1"/>
              <w:contextualSpacing/>
              <w:rPr>
                <w:rFonts w:ascii="Tahoma" w:hAnsi="Tahoma" w:cs="Tahoma"/>
                <w:color w:val="262626" w:themeColor="text1" w:themeTint="D9"/>
                <w:sz w:val="21"/>
                <w:szCs w:val="21"/>
              </w:rPr>
            </w:pPr>
            <w:r w:rsidRPr="005C6C6B">
              <w:rPr>
                <w:rFonts w:ascii="Tahoma" w:hAnsi="Tahoma" w:cs="Tahoma"/>
                <w:b/>
                <w:bCs/>
                <w:color w:val="262626" w:themeColor="text1" w:themeTint="D9"/>
                <w:sz w:val="21"/>
                <w:szCs w:val="21"/>
              </w:rPr>
              <w:t>Skills &amp; Capabilities</w:t>
            </w:r>
          </w:p>
          <w:p w14:paraId="37CCA110" w14:textId="77777777" w:rsidR="005C6C6B" w:rsidRPr="001E659C" w:rsidRDefault="005C6C6B" w:rsidP="001E659C">
            <w:pPr>
              <w:pStyle w:val="ListParagraph"/>
              <w:numPr>
                <w:ilvl w:val="0"/>
                <w:numId w:val="41"/>
              </w:numPr>
              <w:spacing w:before="120" w:after="120" w:line="259" w:lineRule="auto"/>
              <w:jc w:val="both"/>
              <w:rPr>
                <w:rFonts w:ascii="Tahoma" w:hAnsi="Tahoma" w:cs="Tahoma"/>
                <w:sz w:val="21"/>
                <w:szCs w:val="21"/>
              </w:rPr>
            </w:pPr>
            <w:r w:rsidRPr="001E659C">
              <w:rPr>
                <w:rFonts w:ascii="Tahoma" w:hAnsi="Tahoma" w:cs="Tahoma"/>
                <w:sz w:val="21"/>
                <w:szCs w:val="21"/>
              </w:rPr>
              <w:t>Exceptional analytical and problem‑solving skills, with strong commercial judgement.</w:t>
            </w:r>
          </w:p>
          <w:p w14:paraId="404BBF0D" w14:textId="77777777" w:rsidR="005C6C6B" w:rsidRPr="001E659C" w:rsidRDefault="005C6C6B" w:rsidP="001E659C">
            <w:pPr>
              <w:pStyle w:val="ListParagraph"/>
              <w:numPr>
                <w:ilvl w:val="0"/>
                <w:numId w:val="41"/>
              </w:numPr>
              <w:spacing w:before="120" w:after="120" w:line="259" w:lineRule="auto"/>
              <w:jc w:val="both"/>
              <w:rPr>
                <w:rFonts w:ascii="Tahoma" w:hAnsi="Tahoma" w:cs="Tahoma"/>
                <w:sz w:val="21"/>
                <w:szCs w:val="21"/>
              </w:rPr>
            </w:pPr>
            <w:r w:rsidRPr="001E659C">
              <w:rPr>
                <w:rFonts w:ascii="Tahoma" w:hAnsi="Tahoma" w:cs="Tahoma"/>
                <w:sz w:val="21"/>
                <w:szCs w:val="21"/>
              </w:rPr>
              <w:t>Ability to simplify complexity and communicate clearly with senior stakeholders and non‑financial leaders.</w:t>
            </w:r>
          </w:p>
          <w:p w14:paraId="34ED2034" w14:textId="77777777" w:rsidR="005C6C6B" w:rsidRPr="001E659C" w:rsidRDefault="005C6C6B" w:rsidP="001E659C">
            <w:pPr>
              <w:pStyle w:val="ListParagraph"/>
              <w:numPr>
                <w:ilvl w:val="0"/>
                <w:numId w:val="41"/>
              </w:numPr>
              <w:spacing w:before="120" w:after="120" w:line="259" w:lineRule="auto"/>
              <w:jc w:val="both"/>
              <w:rPr>
                <w:rFonts w:ascii="Tahoma" w:hAnsi="Tahoma" w:cs="Tahoma"/>
                <w:sz w:val="21"/>
                <w:szCs w:val="21"/>
              </w:rPr>
            </w:pPr>
            <w:r w:rsidRPr="001E659C">
              <w:rPr>
                <w:rFonts w:ascii="Tahoma" w:hAnsi="Tahoma" w:cs="Tahoma"/>
                <w:sz w:val="21"/>
                <w:szCs w:val="21"/>
              </w:rPr>
              <w:t>Strong performance management and governance mindset.</w:t>
            </w:r>
          </w:p>
          <w:p w14:paraId="07F93380" w14:textId="77777777" w:rsidR="005C6C6B" w:rsidRPr="001E659C" w:rsidRDefault="005C6C6B" w:rsidP="001E659C">
            <w:pPr>
              <w:pStyle w:val="ListParagraph"/>
              <w:numPr>
                <w:ilvl w:val="0"/>
                <w:numId w:val="41"/>
              </w:numPr>
              <w:spacing w:before="120" w:after="120" w:line="259" w:lineRule="auto"/>
              <w:jc w:val="both"/>
              <w:rPr>
                <w:rFonts w:ascii="Tahoma" w:hAnsi="Tahoma" w:cs="Tahoma"/>
                <w:sz w:val="21"/>
                <w:szCs w:val="21"/>
              </w:rPr>
            </w:pPr>
            <w:r w:rsidRPr="001E659C">
              <w:rPr>
                <w:rFonts w:ascii="Tahoma" w:hAnsi="Tahoma" w:cs="Tahoma"/>
                <w:sz w:val="21"/>
                <w:szCs w:val="21"/>
              </w:rPr>
              <w:t>Comfortable operating in environments undergoing change, restructuring or transformation, bringing clarity and pace where data and processes are evolving.</w:t>
            </w:r>
          </w:p>
          <w:p w14:paraId="7E396959" w14:textId="77777777" w:rsidR="005C6C6B" w:rsidRPr="001E659C" w:rsidRDefault="005C6C6B" w:rsidP="001E659C">
            <w:pPr>
              <w:pStyle w:val="ListParagraph"/>
              <w:numPr>
                <w:ilvl w:val="0"/>
                <w:numId w:val="41"/>
              </w:numPr>
              <w:spacing w:before="120" w:after="120" w:line="259" w:lineRule="auto"/>
              <w:jc w:val="both"/>
              <w:rPr>
                <w:rFonts w:ascii="Tahoma" w:hAnsi="Tahoma" w:cs="Tahoma"/>
                <w:sz w:val="21"/>
                <w:szCs w:val="21"/>
              </w:rPr>
            </w:pPr>
            <w:r w:rsidRPr="001E659C">
              <w:rPr>
                <w:rFonts w:ascii="Tahoma" w:hAnsi="Tahoma" w:cs="Tahoma"/>
                <w:sz w:val="21"/>
                <w:szCs w:val="21"/>
              </w:rPr>
              <w:t xml:space="preserve">Highly </w:t>
            </w:r>
            <w:proofErr w:type="spellStart"/>
            <w:r w:rsidRPr="001E659C">
              <w:rPr>
                <w:rFonts w:ascii="Tahoma" w:hAnsi="Tahoma" w:cs="Tahoma"/>
                <w:sz w:val="21"/>
                <w:szCs w:val="21"/>
              </w:rPr>
              <w:t>organised</w:t>
            </w:r>
            <w:proofErr w:type="spellEnd"/>
            <w:r w:rsidRPr="001E659C">
              <w:rPr>
                <w:rFonts w:ascii="Tahoma" w:hAnsi="Tahoma" w:cs="Tahoma"/>
                <w:sz w:val="21"/>
                <w:szCs w:val="21"/>
              </w:rPr>
              <w:t>, detail‑oriented and outcome‑focused.</w:t>
            </w:r>
          </w:p>
          <w:p w14:paraId="7B8B6FD8" w14:textId="77777777" w:rsidR="005C6C6B" w:rsidRPr="001E659C" w:rsidRDefault="005C6C6B" w:rsidP="001E659C">
            <w:pPr>
              <w:pStyle w:val="ListParagraph"/>
              <w:numPr>
                <w:ilvl w:val="0"/>
                <w:numId w:val="41"/>
              </w:numPr>
              <w:spacing w:before="120" w:after="120" w:line="259" w:lineRule="auto"/>
              <w:jc w:val="both"/>
              <w:rPr>
                <w:rFonts w:ascii="Tahoma" w:hAnsi="Tahoma" w:cs="Tahoma"/>
                <w:sz w:val="21"/>
                <w:szCs w:val="21"/>
              </w:rPr>
            </w:pPr>
            <w:r w:rsidRPr="001E659C">
              <w:rPr>
                <w:rFonts w:ascii="Tahoma" w:hAnsi="Tahoma" w:cs="Tahoma"/>
                <w:sz w:val="21"/>
                <w:szCs w:val="21"/>
              </w:rPr>
              <w:t>Comfortable operating at pace and managing competing priorities.</w:t>
            </w:r>
          </w:p>
          <w:p w14:paraId="2F4E9CB1" w14:textId="77777777" w:rsidR="005C6C6B" w:rsidRPr="005C6C6B" w:rsidRDefault="005C6C6B" w:rsidP="005C6C6B">
            <w:pPr>
              <w:shd w:val="clear" w:color="auto" w:fill="FFFFFF"/>
              <w:spacing w:before="100" w:beforeAutospacing="1" w:after="100" w:afterAutospacing="1"/>
              <w:contextualSpacing/>
              <w:rPr>
                <w:rFonts w:ascii="Tahoma" w:hAnsi="Tahoma" w:cs="Tahoma"/>
                <w:b/>
                <w:bCs/>
                <w:color w:val="262626" w:themeColor="text1" w:themeTint="D9"/>
                <w:sz w:val="21"/>
                <w:szCs w:val="21"/>
              </w:rPr>
            </w:pPr>
            <w:r w:rsidRPr="005C6C6B">
              <w:rPr>
                <w:rFonts w:ascii="Tahoma" w:hAnsi="Tahoma" w:cs="Tahoma"/>
                <w:b/>
                <w:bCs/>
                <w:color w:val="262626" w:themeColor="text1" w:themeTint="D9"/>
                <w:sz w:val="21"/>
                <w:szCs w:val="21"/>
              </w:rPr>
              <w:t>Personal Attributes</w:t>
            </w:r>
          </w:p>
          <w:p w14:paraId="621D1767" w14:textId="77777777" w:rsidR="005C6C6B" w:rsidRPr="001E659C" w:rsidRDefault="005C6C6B" w:rsidP="001E659C">
            <w:pPr>
              <w:pStyle w:val="ListParagraph"/>
              <w:numPr>
                <w:ilvl w:val="0"/>
                <w:numId w:val="41"/>
              </w:numPr>
              <w:spacing w:before="120" w:after="120" w:line="259" w:lineRule="auto"/>
              <w:jc w:val="both"/>
              <w:rPr>
                <w:rFonts w:ascii="Tahoma" w:hAnsi="Tahoma" w:cs="Tahoma"/>
                <w:sz w:val="21"/>
                <w:szCs w:val="21"/>
              </w:rPr>
            </w:pPr>
            <w:r w:rsidRPr="001E659C">
              <w:rPr>
                <w:rFonts w:ascii="Tahoma" w:hAnsi="Tahoma" w:cs="Tahoma"/>
                <w:sz w:val="21"/>
                <w:szCs w:val="21"/>
              </w:rPr>
              <w:t>Strategic thinker with a hands‑on, delivery‑focused approach.</w:t>
            </w:r>
          </w:p>
          <w:p w14:paraId="1117C53B" w14:textId="77777777" w:rsidR="005C6C6B" w:rsidRPr="001E659C" w:rsidRDefault="005C6C6B" w:rsidP="001E659C">
            <w:pPr>
              <w:pStyle w:val="ListParagraph"/>
              <w:numPr>
                <w:ilvl w:val="0"/>
                <w:numId w:val="41"/>
              </w:numPr>
              <w:spacing w:before="120" w:after="120" w:line="259" w:lineRule="auto"/>
              <w:jc w:val="both"/>
              <w:rPr>
                <w:rFonts w:ascii="Tahoma" w:hAnsi="Tahoma" w:cs="Tahoma"/>
                <w:sz w:val="21"/>
                <w:szCs w:val="21"/>
              </w:rPr>
            </w:pPr>
            <w:r w:rsidRPr="001E659C">
              <w:rPr>
                <w:rFonts w:ascii="Tahoma" w:hAnsi="Tahoma" w:cs="Tahoma"/>
                <w:sz w:val="21"/>
                <w:szCs w:val="21"/>
              </w:rPr>
              <w:t>Commercially astute with the confidence to challenge constructively at Executive level.</w:t>
            </w:r>
          </w:p>
          <w:p w14:paraId="57F610BE" w14:textId="77777777" w:rsidR="005C6C6B" w:rsidRPr="001E659C" w:rsidRDefault="005C6C6B" w:rsidP="001E659C">
            <w:pPr>
              <w:pStyle w:val="ListParagraph"/>
              <w:numPr>
                <w:ilvl w:val="0"/>
                <w:numId w:val="41"/>
              </w:numPr>
              <w:spacing w:before="120" w:after="120" w:line="259" w:lineRule="auto"/>
              <w:jc w:val="both"/>
              <w:rPr>
                <w:rFonts w:ascii="Tahoma" w:hAnsi="Tahoma" w:cs="Tahoma"/>
                <w:sz w:val="21"/>
                <w:szCs w:val="21"/>
              </w:rPr>
            </w:pPr>
            <w:r w:rsidRPr="001E659C">
              <w:rPr>
                <w:rFonts w:ascii="Tahoma" w:hAnsi="Tahoma" w:cs="Tahoma"/>
                <w:sz w:val="21"/>
                <w:szCs w:val="21"/>
              </w:rPr>
              <w:t>Credible, collaborative and able to influence across functions.</w:t>
            </w:r>
          </w:p>
          <w:p w14:paraId="6584A62A" w14:textId="768D7725" w:rsidR="0089126A" w:rsidRPr="00BB3DD1" w:rsidRDefault="005C6C6B" w:rsidP="001E659C">
            <w:pPr>
              <w:pStyle w:val="ListParagraph"/>
              <w:numPr>
                <w:ilvl w:val="0"/>
                <w:numId w:val="41"/>
              </w:numPr>
              <w:spacing w:before="120" w:after="120" w:line="259" w:lineRule="auto"/>
              <w:jc w:val="both"/>
              <w:rPr>
                <w:rFonts w:ascii="Tahoma" w:hAnsi="Tahoma" w:cs="Tahoma"/>
                <w:color w:val="262626" w:themeColor="text1" w:themeTint="D9"/>
                <w:sz w:val="21"/>
                <w:szCs w:val="21"/>
              </w:rPr>
            </w:pPr>
            <w:r w:rsidRPr="001E659C">
              <w:rPr>
                <w:rFonts w:ascii="Tahoma" w:hAnsi="Tahoma" w:cs="Tahoma"/>
                <w:sz w:val="21"/>
                <w:szCs w:val="21"/>
              </w:rPr>
              <w:t>Resilient and calm under pressure, with strong judgement in ambiguous situations.</w:t>
            </w:r>
          </w:p>
        </w:tc>
      </w:tr>
    </w:tbl>
    <w:p w14:paraId="46E344C4" w14:textId="77777777" w:rsidR="007E2988" w:rsidRPr="00AA5EC1" w:rsidRDefault="007E2988" w:rsidP="00400DBE">
      <w:pPr>
        <w:pStyle w:val="ListParagraph"/>
        <w:spacing w:before="120" w:after="60" w:line="259" w:lineRule="auto"/>
        <w:ind w:left="360" w:firstLine="0"/>
        <w:jc w:val="both"/>
        <w:rPr>
          <w:rFonts w:ascii="Aptos" w:hAnsi="Aptos" w:cs="Tahoma"/>
          <w:sz w:val="24"/>
          <w:szCs w:val="24"/>
        </w:rPr>
      </w:pPr>
    </w:p>
    <w:sectPr w:rsidR="007E2988" w:rsidRPr="00AA5EC1" w:rsidSect="008645FF">
      <w:headerReference w:type="default" r:id="rId11"/>
      <w:footerReference w:type="default" r:id="rId12"/>
      <w:pgSz w:w="11900" w:h="16840"/>
      <w:pgMar w:top="1134" w:right="1134" w:bottom="2552"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6977B" w14:textId="77777777" w:rsidR="004D6D2D" w:rsidRDefault="004D6D2D">
      <w:r>
        <w:separator/>
      </w:r>
    </w:p>
  </w:endnote>
  <w:endnote w:type="continuationSeparator" w:id="0">
    <w:p w14:paraId="043B9D69" w14:textId="77777777" w:rsidR="004D6D2D" w:rsidRDefault="004D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D76" w14:textId="235A9932" w:rsidR="003B6431" w:rsidRDefault="00B97DBE">
    <w:pPr>
      <w:pStyle w:val="HeaderFooter"/>
      <w:rPr>
        <w:rFonts w:hint="eastAsia"/>
      </w:rPr>
    </w:pPr>
    <w:r>
      <w:rPr>
        <w:noProof/>
        <w:sz w:val="20"/>
      </w:rPr>
      <w:drawing>
        <wp:anchor distT="0" distB="0" distL="114300" distR="114300" simplePos="0" relativeHeight="251657728" behindDoc="0" locked="0" layoutInCell="1" allowOverlap="1" wp14:anchorId="743D08DC" wp14:editId="36964FC1">
          <wp:simplePos x="0" y="0"/>
          <wp:positionH relativeFrom="page">
            <wp:posOffset>3019425</wp:posOffset>
          </wp:positionH>
          <wp:positionV relativeFrom="margin">
            <wp:posOffset>8471535</wp:posOffset>
          </wp:positionV>
          <wp:extent cx="2895600" cy="933450"/>
          <wp:effectExtent l="0" t="0" r="0" b="0"/>
          <wp:wrapSquare wrapText="bothSides"/>
          <wp:docPr id="648118035" name="Picture 6481180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4672" t="8900" r="6567" b="3876"/>
                  <a:stretch/>
                </pic:blipFill>
                <pic:spPr bwMode="auto">
                  <a:xfrm>
                    <a:off x="0" y="0"/>
                    <a:ext cx="289560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E1E7" w14:textId="77777777" w:rsidR="004D6D2D" w:rsidRDefault="004D6D2D">
      <w:r>
        <w:separator/>
      </w:r>
    </w:p>
  </w:footnote>
  <w:footnote w:type="continuationSeparator" w:id="0">
    <w:p w14:paraId="76F619FE" w14:textId="77777777" w:rsidR="004D6D2D" w:rsidRDefault="004D6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C2F1" w14:textId="5458787E" w:rsidR="003B6431" w:rsidRDefault="005039D0">
    <w:pPr>
      <w:pStyle w:val="Body"/>
    </w:pPr>
    <w:r w:rsidRPr="005039D0">
      <w:rPr>
        <w:noProof/>
        <w:lang w:val="en-US"/>
      </w:rPr>
      <w:drawing>
        <wp:anchor distT="0" distB="0" distL="114300" distR="114300" simplePos="0" relativeHeight="251658752" behindDoc="1" locked="0" layoutInCell="1" allowOverlap="1" wp14:anchorId="7845B00C" wp14:editId="55926167">
          <wp:simplePos x="0" y="0"/>
          <wp:positionH relativeFrom="margin">
            <wp:posOffset>-619125</wp:posOffset>
          </wp:positionH>
          <wp:positionV relativeFrom="paragraph">
            <wp:posOffset>-345440</wp:posOffset>
          </wp:positionV>
          <wp:extent cx="3048000" cy="602176"/>
          <wp:effectExtent l="0" t="0" r="0" b="7620"/>
          <wp:wrapNone/>
          <wp:docPr id="10" name="Picture 9" descr="A close-up of a sign&#10;&#10;Description automatically generated">
            <a:extLst xmlns:a="http://schemas.openxmlformats.org/drawingml/2006/main">
              <a:ext uri="{FF2B5EF4-FFF2-40B4-BE49-F238E27FC236}">
                <a16:creationId xmlns:a16="http://schemas.microsoft.com/office/drawing/2014/main" id="{E74B3253-1A08-4437-8CAA-55C9347486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close-up of a sign&#10;&#10;Description automatically generated">
                    <a:extLst>
                      <a:ext uri="{FF2B5EF4-FFF2-40B4-BE49-F238E27FC236}">
                        <a16:creationId xmlns:a16="http://schemas.microsoft.com/office/drawing/2014/main" id="{E74B3253-1A08-4437-8CAA-55C93474861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48000" cy="60217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55680" behindDoc="1" locked="0" layoutInCell="1" allowOverlap="1" wp14:anchorId="605B2167" wp14:editId="454243AD">
          <wp:simplePos x="0" y="0"/>
          <wp:positionH relativeFrom="page">
            <wp:posOffset>5454039</wp:posOffset>
          </wp:positionH>
          <wp:positionV relativeFrom="page">
            <wp:posOffset>0</wp:posOffset>
          </wp:positionV>
          <wp:extent cx="2106017" cy="738480"/>
          <wp:effectExtent l="0" t="0" r="0" b="0"/>
          <wp:wrapNone/>
          <wp:docPr id="1016721429"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2"/>
                  <a:stretch>
                    <a:fillRect/>
                  </a:stretch>
                </pic:blipFill>
                <pic:spPr>
                  <a:xfrm>
                    <a:off x="0" y="0"/>
                    <a:ext cx="2106017" cy="738480"/>
                  </a:xfrm>
                  <a:prstGeom prst="rect">
                    <a:avLst/>
                  </a:prstGeom>
                  <a:ln w="12700" cap="flat">
                    <a:noFill/>
                    <a:miter lim="400000"/>
                  </a:ln>
                  <a:effectLst/>
                </pic:spPr>
              </pic:pic>
            </a:graphicData>
          </a:graphic>
        </wp:anchor>
      </w:drawing>
    </w:r>
    <w:r>
      <w:rPr>
        <w:noProof/>
      </w:rPr>
      <w:drawing>
        <wp:anchor distT="152400" distB="152400" distL="152400" distR="152400" simplePos="0" relativeHeight="251656704" behindDoc="1" locked="0" layoutInCell="1" allowOverlap="1" wp14:anchorId="354281F8" wp14:editId="5380D146">
          <wp:simplePos x="0" y="0"/>
          <wp:positionH relativeFrom="page">
            <wp:posOffset>0</wp:posOffset>
          </wp:positionH>
          <wp:positionV relativeFrom="page">
            <wp:posOffset>9226560</wp:posOffset>
          </wp:positionV>
          <wp:extent cx="7560056" cy="1466840"/>
          <wp:effectExtent l="0" t="0" r="0" b="0"/>
          <wp:wrapNone/>
          <wp:docPr id="94550168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6" name="pasted-image.pdf" descr="pasted-image.pdf"/>
                  <pic:cNvPicPr>
                    <a:picLocks noChangeAspect="1"/>
                  </pic:cNvPicPr>
                </pic:nvPicPr>
                <pic:blipFill>
                  <a:blip r:embed="rId3"/>
                  <a:srcRect b="13483"/>
                  <a:stretch>
                    <a:fillRect/>
                  </a:stretch>
                </pic:blipFill>
                <pic:spPr>
                  <a:xfrm>
                    <a:off x="0" y="0"/>
                    <a:ext cx="7560056" cy="146684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BFC"/>
    <w:multiLevelType w:val="hybridMultilevel"/>
    <w:tmpl w:val="592A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C7AF2"/>
    <w:multiLevelType w:val="hybridMultilevel"/>
    <w:tmpl w:val="BDCE1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FB271E"/>
    <w:multiLevelType w:val="hybridMultilevel"/>
    <w:tmpl w:val="E8965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55CD4"/>
    <w:multiLevelType w:val="hybridMultilevel"/>
    <w:tmpl w:val="6D780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5C25DE"/>
    <w:multiLevelType w:val="multilevel"/>
    <w:tmpl w:val="D972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85F39"/>
    <w:multiLevelType w:val="multilevel"/>
    <w:tmpl w:val="A12E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0438C"/>
    <w:multiLevelType w:val="hybridMultilevel"/>
    <w:tmpl w:val="38FEB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07CB5"/>
    <w:multiLevelType w:val="hybridMultilevel"/>
    <w:tmpl w:val="F94A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B2450"/>
    <w:multiLevelType w:val="multilevel"/>
    <w:tmpl w:val="8196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B2FB2"/>
    <w:multiLevelType w:val="multilevel"/>
    <w:tmpl w:val="D468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F6AD3"/>
    <w:multiLevelType w:val="multilevel"/>
    <w:tmpl w:val="E44C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36921"/>
    <w:multiLevelType w:val="hybridMultilevel"/>
    <w:tmpl w:val="C42E9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90ABA"/>
    <w:multiLevelType w:val="multilevel"/>
    <w:tmpl w:val="4126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A0F04"/>
    <w:multiLevelType w:val="multilevel"/>
    <w:tmpl w:val="7AA6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E7FF4"/>
    <w:multiLevelType w:val="multilevel"/>
    <w:tmpl w:val="F48A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D1874"/>
    <w:multiLevelType w:val="multilevel"/>
    <w:tmpl w:val="BB7E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E32723"/>
    <w:multiLevelType w:val="hybridMultilevel"/>
    <w:tmpl w:val="644A0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F60DB3"/>
    <w:multiLevelType w:val="hybridMultilevel"/>
    <w:tmpl w:val="7E06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FB43F1"/>
    <w:multiLevelType w:val="multilevel"/>
    <w:tmpl w:val="9062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7523E"/>
    <w:multiLevelType w:val="hybridMultilevel"/>
    <w:tmpl w:val="9D64B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32F21"/>
    <w:multiLevelType w:val="multilevel"/>
    <w:tmpl w:val="6CD4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FA1494"/>
    <w:multiLevelType w:val="hybridMultilevel"/>
    <w:tmpl w:val="FD74F0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C122DF3"/>
    <w:multiLevelType w:val="hybridMultilevel"/>
    <w:tmpl w:val="09A6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85E77"/>
    <w:multiLevelType w:val="multilevel"/>
    <w:tmpl w:val="A2B2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CD26A2"/>
    <w:multiLevelType w:val="hybridMultilevel"/>
    <w:tmpl w:val="5A46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1061A6"/>
    <w:multiLevelType w:val="hybridMultilevel"/>
    <w:tmpl w:val="B4A23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952717"/>
    <w:multiLevelType w:val="multilevel"/>
    <w:tmpl w:val="AB7640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5C5A02"/>
    <w:multiLevelType w:val="hybridMultilevel"/>
    <w:tmpl w:val="6256F1A0"/>
    <w:lvl w:ilvl="0" w:tplc="08090001">
      <w:start w:val="1"/>
      <w:numFmt w:val="bullet"/>
      <w:lvlText w:val=""/>
      <w:lvlJc w:val="left"/>
      <w:pPr>
        <w:tabs>
          <w:tab w:val="num" w:pos="360"/>
        </w:tabs>
        <w:ind w:left="360" w:hanging="360"/>
      </w:pPr>
      <w:rPr>
        <w:rFonts w:ascii="Symbol" w:hAnsi="Symbol" w:hint="default"/>
        <w:b w:val="0"/>
        <w:i w:val="0"/>
        <w:sz w:val="2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47BA7594"/>
    <w:multiLevelType w:val="hybridMultilevel"/>
    <w:tmpl w:val="ED62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E81F24"/>
    <w:multiLevelType w:val="multilevel"/>
    <w:tmpl w:val="ABE0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4C2F30"/>
    <w:multiLevelType w:val="multilevel"/>
    <w:tmpl w:val="DE6E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3E4387"/>
    <w:multiLevelType w:val="multilevel"/>
    <w:tmpl w:val="89482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401727"/>
    <w:multiLevelType w:val="hybridMultilevel"/>
    <w:tmpl w:val="E0908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DC5237B"/>
    <w:multiLevelType w:val="hybridMultilevel"/>
    <w:tmpl w:val="A3C43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D60767"/>
    <w:multiLevelType w:val="hybridMultilevel"/>
    <w:tmpl w:val="48E84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6E177A"/>
    <w:multiLevelType w:val="multilevel"/>
    <w:tmpl w:val="969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631712"/>
    <w:multiLevelType w:val="multilevel"/>
    <w:tmpl w:val="A97C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1D3EEB"/>
    <w:multiLevelType w:val="hybridMultilevel"/>
    <w:tmpl w:val="8D080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1DC60B1"/>
    <w:multiLevelType w:val="hybridMultilevel"/>
    <w:tmpl w:val="50729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71A7A17"/>
    <w:multiLevelType w:val="multilevel"/>
    <w:tmpl w:val="366E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5C59F5"/>
    <w:multiLevelType w:val="hybridMultilevel"/>
    <w:tmpl w:val="C3784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091AC4"/>
    <w:multiLevelType w:val="hybridMultilevel"/>
    <w:tmpl w:val="1B3C2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F9723A"/>
    <w:multiLevelType w:val="hybridMultilevel"/>
    <w:tmpl w:val="EC16B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4D4849"/>
    <w:multiLevelType w:val="multilevel"/>
    <w:tmpl w:val="9762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6A697A"/>
    <w:multiLevelType w:val="hybridMultilevel"/>
    <w:tmpl w:val="83E68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860899">
    <w:abstractNumId w:val="27"/>
  </w:num>
  <w:num w:numId="2" w16cid:durableId="698551838">
    <w:abstractNumId w:val="37"/>
  </w:num>
  <w:num w:numId="3" w16cid:durableId="111368746">
    <w:abstractNumId w:val="3"/>
  </w:num>
  <w:num w:numId="4" w16cid:durableId="334848901">
    <w:abstractNumId w:val="31"/>
  </w:num>
  <w:num w:numId="5" w16cid:durableId="454518122">
    <w:abstractNumId w:val="26"/>
  </w:num>
  <w:num w:numId="6" w16cid:durableId="1280186785">
    <w:abstractNumId w:val="41"/>
  </w:num>
  <w:num w:numId="7" w16cid:durableId="828905968">
    <w:abstractNumId w:val="0"/>
  </w:num>
  <w:num w:numId="8" w16cid:durableId="1280837827">
    <w:abstractNumId w:val="16"/>
  </w:num>
  <w:num w:numId="9" w16cid:durableId="1382291861">
    <w:abstractNumId w:val="42"/>
  </w:num>
  <w:num w:numId="10" w16cid:durableId="638876925">
    <w:abstractNumId w:val="1"/>
  </w:num>
  <w:num w:numId="11" w16cid:durableId="1324506770">
    <w:abstractNumId w:val="32"/>
  </w:num>
  <w:num w:numId="12" w16cid:durableId="1397313197">
    <w:abstractNumId w:val="44"/>
  </w:num>
  <w:num w:numId="13" w16cid:durableId="1024091146">
    <w:abstractNumId w:val="21"/>
  </w:num>
  <w:num w:numId="14" w16cid:durableId="856190818">
    <w:abstractNumId w:val="38"/>
  </w:num>
  <w:num w:numId="15" w16cid:durableId="384794386">
    <w:abstractNumId w:val="39"/>
  </w:num>
  <w:num w:numId="16" w16cid:durableId="1853838146">
    <w:abstractNumId w:val="18"/>
  </w:num>
  <w:num w:numId="17" w16cid:durableId="1012952670">
    <w:abstractNumId w:val="35"/>
  </w:num>
  <w:num w:numId="18" w16cid:durableId="314650317">
    <w:abstractNumId w:val="36"/>
  </w:num>
  <w:num w:numId="19" w16cid:durableId="1124695372">
    <w:abstractNumId w:val="9"/>
  </w:num>
  <w:num w:numId="20" w16cid:durableId="68428025">
    <w:abstractNumId w:val="14"/>
  </w:num>
  <w:num w:numId="21" w16cid:durableId="1350641233">
    <w:abstractNumId w:val="20"/>
  </w:num>
  <w:num w:numId="22" w16cid:durableId="607156603">
    <w:abstractNumId w:val="15"/>
  </w:num>
  <w:num w:numId="23" w16cid:durableId="1509373045">
    <w:abstractNumId w:val="23"/>
  </w:num>
  <w:num w:numId="24" w16cid:durableId="105202023">
    <w:abstractNumId w:val="13"/>
  </w:num>
  <w:num w:numId="25" w16cid:durableId="412776872">
    <w:abstractNumId w:val="30"/>
  </w:num>
  <w:num w:numId="26" w16cid:durableId="685794908">
    <w:abstractNumId w:val="43"/>
  </w:num>
  <w:num w:numId="27" w16cid:durableId="832528160">
    <w:abstractNumId w:val="5"/>
  </w:num>
  <w:num w:numId="28" w16cid:durableId="186677039">
    <w:abstractNumId w:val="10"/>
  </w:num>
  <w:num w:numId="29" w16cid:durableId="1463378205">
    <w:abstractNumId w:val="4"/>
  </w:num>
  <w:num w:numId="30" w16cid:durableId="2110351911">
    <w:abstractNumId w:val="8"/>
  </w:num>
  <w:num w:numId="31" w16cid:durableId="323513645">
    <w:abstractNumId w:val="29"/>
  </w:num>
  <w:num w:numId="32" w16cid:durableId="814755440">
    <w:abstractNumId w:val="28"/>
  </w:num>
  <w:num w:numId="33" w16cid:durableId="629478493">
    <w:abstractNumId w:val="33"/>
  </w:num>
  <w:num w:numId="34" w16cid:durableId="1613778119">
    <w:abstractNumId w:val="24"/>
  </w:num>
  <w:num w:numId="35" w16cid:durableId="1328632256">
    <w:abstractNumId w:val="40"/>
  </w:num>
  <w:num w:numId="36" w16cid:durableId="1695379160">
    <w:abstractNumId w:val="12"/>
  </w:num>
  <w:num w:numId="37" w16cid:durableId="1480222170">
    <w:abstractNumId w:val="34"/>
  </w:num>
  <w:num w:numId="38" w16cid:durableId="336346824">
    <w:abstractNumId w:val="19"/>
  </w:num>
  <w:num w:numId="39" w16cid:durableId="281353138">
    <w:abstractNumId w:val="22"/>
  </w:num>
  <w:num w:numId="40" w16cid:durableId="2104911126">
    <w:abstractNumId w:val="25"/>
  </w:num>
  <w:num w:numId="41" w16cid:durableId="1808891218">
    <w:abstractNumId w:val="2"/>
  </w:num>
  <w:num w:numId="42" w16cid:durableId="1203594710">
    <w:abstractNumId w:val="6"/>
  </w:num>
  <w:num w:numId="43" w16cid:durableId="471752400">
    <w:abstractNumId w:val="7"/>
  </w:num>
  <w:num w:numId="44" w16cid:durableId="1106385495">
    <w:abstractNumId w:val="17"/>
  </w:num>
  <w:num w:numId="45" w16cid:durableId="11609211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31"/>
    <w:rsid w:val="00001D35"/>
    <w:rsid w:val="0000520D"/>
    <w:rsid w:val="00005A09"/>
    <w:rsid w:val="00015F83"/>
    <w:rsid w:val="000167D4"/>
    <w:rsid w:val="0001698E"/>
    <w:rsid w:val="0002482D"/>
    <w:rsid w:val="00025D3C"/>
    <w:rsid w:val="0004691E"/>
    <w:rsid w:val="00052981"/>
    <w:rsid w:val="0005616B"/>
    <w:rsid w:val="00067BCF"/>
    <w:rsid w:val="00072396"/>
    <w:rsid w:val="00073729"/>
    <w:rsid w:val="000762F2"/>
    <w:rsid w:val="00083D2D"/>
    <w:rsid w:val="000859DB"/>
    <w:rsid w:val="00087130"/>
    <w:rsid w:val="00090B63"/>
    <w:rsid w:val="00095641"/>
    <w:rsid w:val="000966C5"/>
    <w:rsid w:val="0009693C"/>
    <w:rsid w:val="000A3D5D"/>
    <w:rsid w:val="000B76E1"/>
    <w:rsid w:val="000C3CE1"/>
    <w:rsid w:val="000C4EF9"/>
    <w:rsid w:val="000D046B"/>
    <w:rsid w:val="000E5572"/>
    <w:rsid w:val="000F3444"/>
    <w:rsid w:val="000F40A5"/>
    <w:rsid w:val="000F418B"/>
    <w:rsid w:val="000F505E"/>
    <w:rsid w:val="00100541"/>
    <w:rsid w:val="00102247"/>
    <w:rsid w:val="00102C27"/>
    <w:rsid w:val="00111017"/>
    <w:rsid w:val="001122E1"/>
    <w:rsid w:val="00123813"/>
    <w:rsid w:val="00135348"/>
    <w:rsid w:val="00142A57"/>
    <w:rsid w:val="00142ACB"/>
    <w:rsid w:val="001456E9"/>
    <w:rsid w:val="00145E06"/>
    <w:rsid w:val="00155DC1"/>
    <w:rsid w:val="001626BB"/>
    <w:rsid w:val="00164FB3"/>
    <w:rsid w:val="001651F0"/>
    <w:rsid w:val="00174AB4"/>
    <w:rsid w:val="00176FE9"/>
    <w:rsid w:val="00181B28"/>
    <w:rsid w:val="001820CA"/>
    <w:rsid w:val="00187B97"/>
    <w:rsid w:val="001A79D0"/>
    <w:rsid w:val="001B07FE"/>
    <w:rsid w:val="001B4077"/>
    <w:rsid w:val="001B51F7"/>
    <w:rsid w:val="001C359E"/>
    <w:rsid w:val="001C7CA9"/>
    <w:rsid w:val="001D04E1"/>
    <w:rsid w:val="001E659C"/>
    <w:rsid w:val="001F2DFE"/>
    <w:rsid w:val="001F79E2"/>
    <w:rsid w:val="00200B04"/>
    <w:rsid w:val="00202348"/>
    <w:rsid w:val="00203F01"/>
    <w:rsid w:val="0020438E"/>
    <w:rsid w:val="00205035"/>
    <w:rsid w:val="00215645"/>
    <w:rsid w:val="00220702"/>
    <w:rsid w:val="00223619"/>
    <w:rsid w:val="00226BBF"/>
    <w:rsid w:val="00226EF7"/>
    <w:rsid w:val="00231646"/>
    <w:rsid w:val="00235993"/>
    <w:rsid w:val="00252D60"/>
    <w:rsid w:val="00256656"/>
    <w:rsid w:val="00262ACD"/>
    <w:rsid w:val="002637DB"/>
    <w:rsid w:val="0027291F"/>
    <w:rsid w:val="00297FDF"/>
    <w:rsid w:val="002C3A2E"/>
    <w:rsid w:val="002D2DCD"/>
    <w:rsid w:val="002D5AC5"/>
    <w:rsid w:val="002E4EBC"/>
    <w:rsid w:val="002E72E9"/>
    <w:rsid w:val="002E77FA"/>
    <w:rsid w:val="002F29D2"/>
    <w:rsid w:val="003042CA"/>
    <w:rsid w:val="00307A90"/>
    <w:rsid w:val="003107BD"/>
    <w:rsid w:val="00316588"/>
    <w:rsid w:val="00317335"/>
    <w:rsid w:val="00326D4D"/>
    <w:rsid w:val="0034172D"/>
    <w:rsid w:val="00344A99"/>
    <w:rsid w:val="0034625D"/>
    <w:rsid w:val="00362702"/>
    <w:rsid w:val="00365A42"/>
    <w:rsid w:val="003725FF"/>
    <w:rsid w:val="00373244"/>
    <w:rsid w:val="003838EB"/>
    <w:rsid w:val="00385032"/>
    <w:rsid w:val="00385942"/>
    <w:rsid w:val="003900F2"/>
    <w:rsid w:val="003A0031"/>
    <w:rsid w:val="003A6519"/>
    <w:rsid w:val="003B5902"/>
    <w:rsid w:val="003B6431"/>
    <w:rsid w:val="003D0FDB"/>
    <w:rsid w:val="003D1F29"/>
    <w:rsid w:val="003D2519"/>
    <w:rsid w:val="003D4BFD"/>
    <w:rsid w:val="003E0ABF"/>
    <w:rsid w:val="003E21AF"/>
    <w:rsid w:val="003E2268"/>
    <w:rsid w:val="003F4C10"/>
    <w:rsid w:val="003F549A"/>
    <w:rsid w:val="003F568E"/>
    <w:rsid w:val="004000E0"/>
    <w:rsid w:val="0040053B"/>
    <w:rsid w:val="00400DBE"/>
    <w:rsid w:val="0040292F"/>
    <w:rsid w:val="00403EA7"/>
    <w:rsid w:val="004110CC"/>
    <w:rsid w:val="0041226E"/>
    <w:rsid w:val="004228C4"/>
    <w:rsid w:val="00422D59"/>
    <w:rsid w:val="00426313"/>
    <w:rsid w:val="004278CD"/>
    <w:rsid w:val="00427A8A"/>
    <w:rsid w:val="004309A9"/>
    <w:rsid w:val="00432D50"/>
    <w:rsid w:val="00434FEF"/>
    <w:rsid w:val="00441467"/>
    <w:rsid w:val="00452C5F"/>
    <w:rsid w:val="00467C26"/>
    <w:rsid w:val="004818A4"/>
    <w:rsid w:val="00483635"/>
    <w:rsid w:val="0048698B"/>
    <w:rsid w:val="004A6492"/>
    <w:rsid w:val="004A7097"/>
    <w:rsid w:val="004B5C62"/>
    <w:rsid w:val="004B69BE"/>
    <w:rsid w:val="004B7E7B"/>
    <w:rsid w:val="004C6889"/>
    <w:rsid w:val="004D0201"/>
    <w:rsid w:val="004D65CE"/>
    <w:rsid w:val="004D6D2D"/>
    <w:rsid w:val="004E4C69"/>
    <w:rsid w:val="004F0B6A"/>
    <w:rsid w:val="004F435C"/>
    <w:rsid w:val="005039D0"/>
    <w:rsid w:val="00513D88"/>
    <w:rsid w:val="005160FC"/>
    <w:rsid w:val="00526BED"/>
    <w:rsid w:val="00533B1E"/>
    <w:rsid w:val="00540740"/>
    <w:rsid w:val="005431A1"/>
    <w:rsid w:val="00546CA2"/>
    <w:rsid w:val="005473DF"/>
    <w:rsid w:val="00550B88"/>
    <w:rsid w:val="00554D35"/>
    <w:rsid w:val="00554ED9"/>
    <w:rsid w:val="00575597"/>
    <w:rsid w:val="00576928"/>
    <w:rsid w:val="005826E6"/>
    <w:rsid w:val="005841CA"/>
    <w:rsid w:val="005841CD"/>
    <w:rsid w:val="005A4F6D"/>
    <w:rsid w:val="005A7EBD"/>
    <w:rsid w:val="005B1874"/>
    <w:rsid w:val="005B3FC9"/>
    <w:rsid w:val="005B402E"/>
    <w:rsid w:val="005B7A68"/>
    <w:rsid w:val="005C6C6B"/>
    <w:rsid w:val="005D7D59"/>
    <w:rsid w:val="005E6739"/>
    <w:rsid w:val="005F026F"/>
    <w:rsid w:val="005F0E9A"/>
    <w:rsid w:val="00601C5D"/>
    <w:rsid w:val="00607BC4"/>
    <w:rsid w:val="0061248F"/>
    <w:rsid w:val="0061544A"/>
    <w:rsid w:val="00615938"/>
    <w:rsid w:val="006163CA"/>
    <w:rsid w:val="0062031A"/>
    <w:rsid w:val="00622F35"/>
    <w:rsid w:val="00625937"/>
    <w:rsid w:val="00630B34"/>
    <w:rsid w:val="00630BCC"/>
    <w:rsid w:val="00634F78"/>
    <w:rsid w:val="00646956"/>
    <w:rsid w:val="00647D39"/>
    <w:rsid w:val="006515CE"/>
    <w:rsid w:val="00652D1A"/>
    <w:rsid w:val="0066290B"/>
    <w:rsid w:val="00666642"/>
    <w:rsid w:val="00676246"/>
    <w:rsid w:val="0068090D"/>
    <w:rsid w:val="00682966"/>
    <w:rsid w:val="006A1246"/>
    <w:rsid w:val="006B4037"/>
    <w:rsid w:val="006B72A3"/>
    <w:rsid w:val="006C6BDD"/>
    <w:rsid w:val="006C7810"/>
    <w:rsid w:val="006D0E99"/>
    <w:rsid w:val="006D1E5D"/>
    <w:rsid w:val="006E1A05"/>
    <w:rsid w:val="006E4202"/>
    <w:rsid w:val="006E598E"/>
    <w:rsid w:val="006F294C"/>
    <w:rsid w:val="006F68FF"/>
    <w:rsid w:val="0071102A"/>
    <w:rsid w:val="00716E2E"/>
    <w:rsid w:val="00720BC6"/>
    <w:rsid w:val="00730228"/>
    <w:rsid w:val="00731F16"/>
    <w:rsid w:val="007404B2"/>
    <w:rsid w:val="00740764"/>
    <w:rsid w:val="0074143F"/>
    <w:rsid w:val="00746495"/>
    <w:rsid w:val="00750292"/>
    <w:rsid w:val="00750B9D"/>
    <w:rsid w:val="00751518"/>
    <w:rsid w:val="007560CE"/>
    <w:rsid w:val="00757863"/>
    <w:rsid w:val="007629E5"/>
    <w:rsid w:val="0077449E"/>
    <w:rsid w:val="00774CED"/>
    <w:rsid w:val="00775C34"/>
    <w:rsid w:val="00780D62"/>
    <w:rsid w:val="007871D8"/>
    <w:rsid w:val="007A4040"/>
    <w:rsid w:val="007A565E"/>
    <w:rsid w:val="007B7AC0"/>
    <w:rsid w:val="007C0E27"/>
    <w:rsid w:val="007C18F0"/>
    <w:rsid w:val="007C70FB"/>
    <w:rsid w:val="007D359D"/>
    <w:rsid w:val="007D7C3A"/>
    <w:rsid w:val="007E1FBB"/>
    <w:rsid w:val="007E2988"/>
    <w:rsid w:val="007F441D"/>
    <w:rsid w:val="007F477E"/>
    <w:rsid w:val="007F77D4"/>
    <w:rsid w:val="008031C9"/>
    <w:rsid w:val="00806DB1"/>
    <w:rsid w:val="00814373"/>
    <w:rsid w:val="00815B8C"/>
    <w:rsid w:val="0082642D"/>
    <w:rsid w:val="00827F92"/>
    <w:rsid w:val="008339CA"/>
    <w:rsid w:val="008352CE"/>
    <w:rsid w:val="00842CD1"/>
    <w:rsid w:val="008645FF"/>
    <w:rsid w:val="008665A7"/>
    <w:rsid w:val="00870A2A"/>
    <w:rsid w:val="0088370D"/>
    <w:rsid w:val="00885FA3"/>
    <w:rsid w:val="00887604"/>
    <w:rsid w:val="0088771B"/>
    <w:rsid w:val="00887B67"/>
    <w:rsid w:val="0089126A"/>
    <w:rsid w:val="0089386C"/>
    <w:rsid w:val="008A062A"/>
    <w:rsid w:val="008A1195"/>
    <w:rsid w:val="008B0AE2"/>
    <w:rsid w:val="008D0662"/>
    <w:rsid w:val="008D188E"/>
    <w:rsid w:val="008D4277"/>
    <w:rsid w:val="008D51BD"/>
    <w:rsid w:val="008E3546"/>
    <w:rsid w:val="00902035"/>
    <w:rsid w:val="009078A1"/>
    <w:rsid w:val="0091252A"/>
    <w:rsid w:val="00915737"/>
    <w:rsid w:val="009208F9"/>
    <w:rsid w:val="009222C7"/>
    <w:rsid w:val="00942BA0"/>
    <w:rsid w:val="009468D3"/>
    <w:rsid w:val="00947973"/>
    <w:rsid w:val="00950723"/>
    <w:rsid w:val="00951B6A"/>
    <w:rsid w:val="00954021"/>
    <w:rsid w:val="00960A89"/>
    <w:rsid w:val="00966325"/>
    <w:rsid w:val="00966D44"/>
    <w:rsid w:val="00967BBA"/>
    <w:rsid w:val="00977726"/>
    <w:rsid w:val="009875DF"/>
    <w:rsid w:val="009937D0"/>
    <w:rsid w:val="009A5BB2"/>
    <w:rsid w:val="009B0C84"/>
    <w:rsid w:val="009B4930"/>
    <w:rsid w:val="009B4E1C"/>
    <w:rsid w:val="009B6737"/>
    <w:rsid w:val="009C16F0"/>
    <w:rsid w:val="009E2A21"/>
    <w:rsid w:val="009E64D2"/>
    <w:rsid w:val="009F04A1"/>
    <w:rsid w:val="009F258A"/>
    <w:rsid w:val="009F329F"/>
    <w:rsid w:val="00A003E9"/>
    <w:rsid w:val="00A01600"/>
    <w:rsid w:val="00A10F50"/>
    <w:rsid w:val="00A127A7"/>
    <w:rsid w:val="00A147D2"/>
    <w:rsid w:val="00A14839"/>
    <w:rsid w:val="00A202AD"/>
    <w:rsid w:val="00A34BB9"/>
    <w:rsid w:val="00A4085D"/>
    <w:rsid w:val="00A50EBA"/>
    <w:rsid w:val="00A543B7"/>
    <w:rsid w:val="00A60B10"/>
    <w:rsid w:val="00A7156E"/>
    <w:rsid w:val="00A743C9"/>
    <w:rsid w:val="00A75763"/>
    <w:rsid w:val="00A821B1"/>
    <w:rsid w:val="00A91154"/>
    <w:rsid w:val="00A91FE9"/>
    <w:rsid w:val="00A9467E"/>
    <w:rsid w:val="00A9482E"/>
    <w:rsid w:val="00A9528C"/>
    <w:rsid w:val="00A96B7C"/>
    <w:rsid w:val="00A97D31"/>
    <w:rsid w:val="00A97E5C"/>
    <w:rsid w:val="00AA0B7B"/>
    <w:rsid w:val="00AA4F9E"/>
    <w:rsid w:val="00AA5EC1"/>
    <w:rsid w:val="00AB34B6"/>
    <w:rsid w:val="00AB49B4"/>
    <w:rsid w:val="00AC2075"/>
    <w:rsid w:val="00AC2B4C"/>
    <w:rsid w:val="00AD0865"/>
    <w:rsid w:val="00AD2DCB"/>
    <w:rsid w:val="00AD6813"/>
    <w:rsid w:val="00AE5C24"/>
    <w:rsid w:val="00B03A12"/>
    <w:rsid w:val="00B06227"/>
    <w:rsid w:val="00B10E96"/>
    <w:rsid w:val="00B11F87"/>
    <w:rsid w:val="00B23A1A"/>
    <w:rsid w:val="00B2710A"/>
    <w:rsid w:val="00B31CC5"/>
    <w:rsid w:val="00B40785"/>
    <w:rsid w:val="00B451D6"/>
    <w:rsid w:val="00B465C0"/>
    <w:rsid w:val="00B60F91"/>
    <w:rsid w:val="00B64706"/>
    <w:rsid w:val="00B64E1F"/>
    <w:rsid w:val="00B65A6B"/>
    <w:rsid w:val="00B6616E"/>
    <w:rsid w:val="00B75836"/>
    <w:rsid w:val="00B803A9"/>
    <w:rsid w:val="00B83C4C"/>
    <w:rsid w:val="00B879CB"/>
    <w:rsid w:val="00B97DBE"/>
    <w:rsid w:val="00BA19AC"/>
    <w:rsid w:val="00BA4E9A"/>
    <w:rsid w:val="00BA67AA"/>
    <w:rsid w:val="00BB0A98"/>
    <w:rsid w:val="00BB2CCF"/>
    <w:rsid w:val="00BB3DD1"/>
    <w:rsid w:val="00BB4C7E"/>
    <w:rsid w:val="00BB53B3"/>
    <w:rsid w:val="00BB6A1B"/>
    <w:rsid w:val="00BB7EF9"/>
    <w:rsid w:val="00BC4B55"/>
    <w:rsid w:val="00BC4D44"/>
    <w:rsid w:val="00BC569B"/>
    <w:rsid w:val="00BE1536"/>
    <w:rsid w:val="00BF069C"/>
    <w:rsid w:val="00BF1584"/>
    <w:rsid w:val="00BF6325"/>
    <w:rsid w:val="00C052B3"/>
    <w:rsid w:val="00C10EAE"/>
    <w:rsid w:val="00C22671"/>
    <w:rsid w:val="00C260B3"/>
    <w:rsid w:val="00C31B46"/>
    <w:rsid w:val="00C52B4D"/>
    <w:rsid w:val="00C552F2"/>
    <w:rsid w:val="00C55A33"/>
    <w:rsid w:val="00C55B86"/>
    <w:rsid w:val="00C564F0"/>
    <w:rsid w:val="00C678F1"/>
    <w:rsid w:val="00C907E2"/>
    <w:rsid w:val="00CA6D9F"/>
    <w:rsid w:val="00CB072A"/>
    <w:rsid w:val="00CB6E19"/>
    <w:rsid w:val="00CC4C2E"/>
    <w:rsid w:val="00CC78E1"/>
    <w:rsid w:val="00CD1AF7"/>
    <w:rsid w:val="00CE1189"/>
    <w:rsid w:val="00CF5A5E"/>
    <w:rsid w:val="00D000D3"/>
    <w:rsid w:val="00D00B87"/>
    <w:rsid w:val="00D04D8F"/>
    <w:rsid w:val="00D054D3"/>
    <w:rsid w:val="00D157B8"/>
    <w:rsid w:val="00D25684"/>
    <w:rsid w:val="00D27D90"/>
    <w:rsid w:val="00D27FC6"/>
    <w:rsid w:val="00D3286B"/>
    <w:rsid w:val="00D33A26"/>
    <w:rsid w:val="00D3732A"/>
    <w:rsid w:val="00D41592"/>
    <w:rsid w:val="00D532D0"/>
    <w:rsid w:val="00D547C2"/>
    <w:rsid w:val="00D561F2"/>
    <w:rsid w:val="00D57358"/>
    <w:rsid w:val="00D6012C"/>
    <w:rsid w:val="00D65666"/>
    <w:rsid w:val="00D72B81"/>
    <w:rsid w:val="00D91DF0"/>
    <w:rsid w:val="00D92FF5"/>
    <w:rsid w:val="00D95AFD"/>
    <w:rsid w:val="00D9694F"/>
    <w:rsid w:val="00DA0E85"/>
    <w:rsid w:val="00DA1E09"/>
    <w:rsid w:val="00DB5BBA"/>
    <w:rsid w:val="00DC6D31"/>
    <w:rsid w:val="00DD18DE"/>
    <w:rsid w:val="00DD6649"/>
    <w:rsid w:val="00DE495E"/>
    <w:rsid w:val="00DF4949"/>
    <w:rsid w:val="00E062D8"/>
    <w:rsid w:val="00E063F5"/>
    <w:rsid w:val="00E06E8B"/>
    <w:rsid w:val="00E15E81"/>
    <w:rsid w:val="00E4061C"/>
    <w:rsid w:val="00E41D1E"/>
    <w:rsid w:val="00E43E7D"/>
    <w:rsid w:val="00E4674C"/>
    <w:rsid w:val="00E54CBC"/>
    <w:rsid w:val="00E61972"/>
    <w:rsid w:val="00E6509C"/>
    <w:rsid w:val="00E654B4"/>
    <w:rsid w:val="00E717F1"/>
    <w:rsid w:val="00E80A5D"/>
    <w:rsid w:val="00E812F8"/>
    <w:rsid w:val="00E9068B"/>
    <w:rsid w:val="00EA003D"/>
    <w:rsid w:val="00EA2EF2"/>
    <w:rsid w:val="00EA3E9C"/>
    <w:rsid w:val="00EB431B"/>
    <w:rsid w:val="00EC0556"/>
    <w:rsid w:val="00EC1277"/>
    <w:rsid w:val="00EC55AB"/>
    <w:rsid w:val="00EC731C"/>
    <w:rsid w:val="00ED283E"/>
    <w:rsid w:val="00ED3730"/>
    <w:rsid w:val="00ED7D4A"/>
    <w:rsid w:val="00EE423A"/>
    <w:rsid w:val="00EF5574"/>
    <w:rsid w:val="00F06002"/>
    <w:rsid w:val="00F077E2"/>
    <w:rsid w:val="00F10954"/>
    <w:rsid w:val="00F170ED"/>
    <w:rsid w:val="00F22AB4"/>
    <w:rsid w:val="00F331C9"/>
    <w:rsid w:val="00F347BB"/>
    <w:rsid w:val="00F3483C"/>
    <w:rsid w:val="00F37A52"/>
    <w:rsid w:val="00F404E1"/>
    <w:rsid w:val="00F42794"/>
    <w:rsid w:val="00F52B3F"/>
    <w:rsid w:val="00F66D97"/>
    <w:rsid w:val="00F675C0"/>
    <w:rsid w:val="00F72B3C"/>
    <w:rsid w:val="00F857B4"/>
    <w:rsid w:val="00F9380E"/>
    <w:rsid w:val="00F94767"/>
    <w:rsid w:val="00F96668"/>
    <w:rsid w:val="00FA06E8"/>
    <w:rsid w:val="00FA56CD"/>
    <w:rsid w:val="00FB7D63"/>
    <w:rsid w:val="00FC3B6E"/>
    <w:rsid w:val="00FC5935"/>
    <w:rsid w:val="00FC6A93"/>
    <w:rsid w:val="00FD3D1C"/>
    <w:rsid w:val="00FE451C"/>
    <w:rsid w:val="00FE4C2A"/>
    <w:rsid w:val="00FE5349"/>
    <w:rsid w:val="00FF1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A2862"/>
  <w15:docId w15:val="{0DC226B7-ECD5-482B-A804-C1FBC56C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BodyText">
    <w:name w:val="Body Text"/>
    <w:basedOn w:val="Normal"/>
    <w:link w:val="BodyTextChar"/>
    <w:uiPriority w:val="1"/>
    <w:qFormat/>
    <w:rsid w:val="0020438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bdr w:val="none" w:sz="0" w:space="0" w:color="auto"/>
      <w:lang w:val="en-GB"/>
    </w:rPr>
  </w:style>
  <w:style w:type="character" w:customStyle="1" w:styleId="BodyTextChar">
    <w:name w:val="Body Text Char"/>
    <w:basedOn w:val="DefaultParagraphFont"/>
    <w:link w:val="BodyText"/>
    <w:uiPriority w:val="1"/>
    <w:rsid w:val="0020438E"/>
    <w:rPr>
      <w:rFonts w:ascii="Calibri" w:eastAsia="Calibri" w:hAnsi="Calibri" w:cs="Calibri"/>
      <w:sz w:val="24"/>
      <w:szCs w:val="24"/>
      <w:bdr w:val="none" w:sz="0" w:space="0" w:color="auto"/>
      <w:lang w:eastAsia="en-US"/>
    </w:rPr>
  </w:style>
  <w:style w:type="paragraph" w:styleId="ListParagraph">
    <w:name w:val="List Paragraph"/>
    <w:basedOn w:val="Normal"/>
    <w:uiPriority w:val="34"/>
    <w:qFormat/>
    <w:rsid w:val="0020438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60" w:hanging="361"/>
    </w:pPr>
    <w:rPr>
      <w:rFonts w:ascii="Calibri" w:eastAsia="Calibri" w:hAnsi="Calibri" w:cs="Calibri"/>
      <w:sz w:val="22"/>
      <w:szCs w:val="22"/>
      <w:bdr w:val="none" w:sz="0" w:space="0" w:color="auto"/>
      <w:lang w:val="en-GB"/>
    </w:rPr>
  </w:style>
  <w:style w:type="paragraph" w:styleId="Header">
    <w:name w:val="header"/>
    <w:basedOn w:val="Normal"/>
    <w:link w:val="HeaderChar"/>
    <w:uiPriority w:val="99"/>
    <w:unhideWhenUsed/>
    <w:rsid w:val="00B97DBE"/>
    <w:pPr>
      <w:tabs>
        <w:tab w:val="center" w:pos="4513"/>
        <w:tab w:val="right" w:pos="9026"/>
      </w:tabs>
    </w:pPr>
  </w:style>
  <w:style w:type="character" w:customStyle="1" w:styleId="HeaderChar">
    <w:name w:val="Header Char"/>
    <w:basedOn w:val="DefaultParagraphFont"/>
    <w:link w:val="Header"/>
    <w:uiPriority w:val="99"/>
    <w:rsid w:val="00B97DBE"/>
    <w:rPr>
      <w:sz w:val="24"/>
      <w:szCs w:val="24"/>
      <w:lang w:val="en-US" w:eastAsia="en-US"/>
    </w:rPr>
  </w:style>
  <w:style w:type="paragraph" w:styleId="Footer">
    <w:name w:val="footer"/>
    <w:basedOn w:val="Normal"/>
    <w:link w:val="FooterChar"/>
    <w:uiPriority w:val="99"/>
    <w:unhideWhenUsed/>
    <w:rsid w:val="00B97DBE"/>
    <w:pPr>
      <w:tabs>
        <w:tab w:val="center" w:pos="4513"/>
        <w:tab w:val="right" w:pos="9026"/>
      </w:tabs>
    </w:pPr>
  </w:style>
  <w:style w:type="character" w:customStyle="1" w:styleId="FooterChar">
    <w:name w:val="Footer Char"/>
    <w:basedOn w:val="DefaultParagraphFont"/>
    <w:link w:val="Footer"/>
    <w:uiPriority w:val="99"/>
    <w:rsid w:val="00B97DBE"/>
    <w:rPr>
      <w:sz w:val="24"/>
      <w:szCs w:val="24"/>
      <w:lang w:val="en-US" w:eastAsia="en-US"/>
    </w:rPr>
  </w:style>
  <w:style w:type="paragraph" w:styleId="Revision">
    <w:name w:val="Revision"/>
    <w:hidden/>
    <w:uiPriority w:val="99"/>
    <w:semiHidden/>
    <w:rsid w:val="002316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1">
    <w:name w:val="p1"/>
    <w:basedOn w:val="Normal"/>
    <w:rsid w:val="007E29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paragraph" w:customStyle="1" w:styleId="p2">
    <w:name w:val="p2"/>
    <w:basedOn w:val="Normal"/>
    <w:rsid w:val="007E29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paragraph" w:customStyle="1" w:styleId="p3">
    <w:name w:val="p3"/>
    <w:basedOn w:val="Normal"/>
    <w:rsid w:val="007E29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character" w:customStyle="1" w:styleId="s1">
    <w:name w:val="s1"/>
    <w:basedOn w:val="DefaultParagraphFont"/>
    <w:rsid w:val="007E2988"/>
  </w:style>
  <w:style w:type="character" w:customStyle="1" w:styleId="s2">
    <w:name w:val="s2"/>
    <w:basedOn w:val="DefaultParagraphFont"/>
    <w:rsid w:val="007E2988"/>
  </w:style>
  <w:style w:type="character" w:customStyle="1" w:styleId="apple-converted-space">
    <w:name w:val="apple-converted-space"/>
    <w:basedOn w:val="DefaultParagraphFont"/>
    <w:rsid w:val="007E2988"/>
  </w:style>
  <w:style w:type="character" w:styleId="Emphasis">
    <w:name w:val="Emphasis"/>
    <w:basedOn w:val="DefaultParagraphFont"/>
    <w:uiPriority w:val="20"/>
    <w:qFormat/>
    <w:rsid w:val="00385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3615">
      <w:bodyDiv w:val="1"/>
      <w:marLeft w:val="0"/>
      <w:marRight w:val="0"/>
      <w:marTop w:val="0"/>
      <w:marBottom w:val="0"/>
      <w:divBdr>
        <w:top w:val="none" w:sz="0" w:space="0" w:color="auto"/>
        <w:left w:val="none" w:sz="0" w:space="0" w:color="auto"/>
        <w:bottom w:val="none" w:sz="0" w:space="0" w:color="auto"/>
        <w:right w:val="none" w:sz="0" w:space="0" w:color="auto"/>
      </w:divBdr>
    </w:div>
    <w:div w:id="350689471">
      <w:bodyDiv w:val="1"/>
      <w:marLeft w:val="0"/>
      <w:marRight w:val="0"/>
      <w:marTop w:val="0"/>
      <w:marBottom w:val="0"/>
      <w:divBdr>
        <w:top w:val="none" w:sz="0" w:space="0" w:color="auto"/>
        <w:left w:val="none" w:sz="0" w:space="0" w:color="auto"/>
        <w:bottom w:val="none" w:sz="0" w:space="0" w:color="auto"/>
        <w:right w:val="none" w:sz="0" w:space="0" w:color="auto"/>
      </w:divBdr>
    </w:div>
    <w:div w:id="525951958">
      <w:bodyDiv w:val="1"/>
      <w:marLeft w:val="0"/>
      <w:marRight w:val="0"/>
      <w:marTop w:val="0"/>
      <w:marBottom w:val="0"/>
      <w:divBdr>
        <w:top w:val="none" w:sz="0" w:space="0" w:color="auto"/>
        <w:left w:val="none" w:sz="0" w:space="0" w:color="auto"/>
        <w:bottom w:val="none" w:sz="0" w:space="0" w:color="auto"/>
        <w:right w:val="none" w:sz="0" w:space="0" w:color="auto"/>
      </w:divBdr>
    </w:div>
    <w:div w:id="1059790718">
      <w:bodyDiv w:val="1"/>
      <w:marLeft w:val="0"/>
      <w:marRight w:val="0"/>
      <w:marTop w:val="0"/>
      <w:marBottom w:val="0"/>
      <w:divBdr>
        <w:top w:val="none" w:sz="0" w:space="0" w:color="auto"/>
        <w:left w:val="none" w:sz="0" w:space="0" w:color="auto"/>
        <w:bottom w:val="none" w:sz="0" w:space="0" w:color="auto"/>
        <w:right w:val="none" w:sz="0" w:space="0" w:color="auto"/>
      </w:divBdr>
    </w:div>
    <w:div w:id="1498811512">
      <w:bodyDiv w:val="1"/>
      <w:marLeft w:val="0"/>
      <w:marRight w:val="0"/>
      <w:marTop w:val="0"/>
      <w:marBottom w:val="0"/>
      <w:divBdr>
        <w:top w:val="none" w:sz="0" w:space="0" w:color="auto"/>
        <w:left w:val="none" w:sz="0" w:space="0" w:color="auto"/>
        <w:bottom w:val="none" w:sz="0" w:space="0" w:color="auto"/>
        <w:right w:val="none" w:sz="0" w:space="0" w:color="auto"/>
      </w:divBdr>
    </w:div>
    <w:div w:id="1584220321">
      <w:bodyDiv w:val="1"/>
      <w:marLeft w:val="0"/>
      <w:marRight w:val="0"/>
      <w:marTop w:val="0"/>
      <w:marBottom w:val="0"/>
      <w:divBdr>
        <w:top w:val="none" w:sz="0" w:space="0" w:color="auto"/>
        <w:left w:val="none" w:sz="0" w:space="0" w:color="auto"/>
        <w:bottom w:val="none" w:sz="0" w:space="0" w:color="auto"/>
        <w:right w:val="none" w:sz="0" w:space="0" w:color="auto"/>
      </w:divBdr>
    </w:div>
    <w:div w:id="1870533250">
      <w:bodyDiv w:val="1"/>
      <w:marLeft w:val="0"/>
      <w:marRight w:val="0"/>
      <w:marTop w:val="0"/>
      <w:marBottom w:val="0"/>
      <w:divBdr>
        <w:top w:val="none" w:sz="0" w:space="0" w:color="auto"/>
        <w:left w:val="none" w:sz="0" w:space="0" w:color="auto"/>
        <w:bottom w:val="none" w:sz="0" w:space="0" w:color="auto"/>
        <w:right w:val="none" w:sz="0" w:space="0" w:color="auto"/>
      </w:divBdr>
    </w:div>
    <w:div w:id="2024671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8C87E5F1E414AB30EBC2026B42698" ma:contentTypeVersion="4" ma:contentTypeDescription="Create a new document." ma:contentTypeScope="" ma:versionID="131785c199ea6009fc3dde9dc77306a9">
  <xsd:schema xmlns:xsd="http://www.w3.org/2001/XMLSchema" xmlns:xs="http://www.w3.org/2001/XMLSchema" xmlns:p="http://schemas.microsoft.com/office/2006/metadata/properties" xmlns:ns2="4f034ab0-ff97-409f-a6b3-6efb8566028e" targetNamespace="http://schemas.microsoft.com/office/2006/metadata/properties" ma:root="true" ma:fieldsID="5e82f62b98fa4b2605eda1a5397d17ae" ns2:_="">
    <xsd:import namespace="4f034ab0-ff97-409f-a6b3-6efb85660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34ab0-ff97-409f-a6b3-6efb85660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44D01-1E8F-48B3-B5C5-3218A417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34ab0-ff97-409f-a6b3-6efb85660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A9254-51C7-45AA-87AF-445542BEF398}">
  <ds:schemaRefs>
    <ds:schemaRef ds:uri="http://schemas.microsoft.com/sharepoint/v3/contenttype/forms"/>
  </ds:schemaRefs>
</ds:datastoreItem>
</file>

<file path=customXml/itemProps3.xml><?xml version="1.0" encoding="utf-8"?>
<ds:datastoreItem xmlns:ds="http://schemas.openxmlformats.org/officeDocument/2006/customXml" ds:itemID="{5AE6396A-1286-42DD-A289-3A1E6D86EF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4EFC32-7B52-42E3-8C4D-259927CC790F}">
  <ds:schemaRefs>
    <ds:schemaRef ds:uri="http://schemas.openxmlformats.org/officeDocument/2006/bibliography"/>
  </ds:schemaRefs>
</ds:datastoreItem>
</file>

<file path=docMetadata/LabelInfo.xml><?xml version="1.0" encoding="utf-8"?>
<clbl:labelList xmlns:clbl="http://schemas.microsoft.com/office/2020/mipLabelMetadata">
  <clbl:label id="{f585a391-2466-46e8-8353-f803f8c9516c}" enabled="0" method="" siteId="{f585a391-2466-46e8-8353-f803f8c9516c}"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Cole</dc:creator>
  <cp:lastModifiedBy>Chris Saunders</cp:lastModifiedBy>
  <cp:revision>5</cp:revision>
  <cp:lastPrinted>2023-12-27T08:59:00Z</cp:lastPrinted>
  <dcterms:created xsi:type="dcterms:W3CDTF">2026-03-27T09:19:00Z</dcterms:created>
  <dcterms:modified xsi:type="dcterms:W3CDTF">2026-03-27T09:30:00Z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0x010100F3A8C87E5F1E414AB30EBC2026B42698</vt:lpwstr>
  </property>
</Properties>
</file>