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B887" w14:textId="26C0C3E5" w:rsidR="00526BED" w:rsidRPr="005841CA" w:rsidRDefault="00526BED" w:rsidP="00526BED">
      <w:pPr>
        <w:pStyle w:val="BodyText"/>
        <w:jc w:val="right"/>
        <w:rPr>
          <w:rFonts w:ascii="Tahoma" w:hAnsi="Tahoma" w:cs="Tahoma"/>
          <w:bCs/>
          <w:sz w:val="16"/>
          <w:szCs w:val="16"/>
        </w:rPr>
      </w:pPr>
      <w:r w:rsidRPr="00526BED">
        <w:rPr>
          <w:rFonts w:ascii="Tahoma" w:hAnsi="Tahoma" w:cs="Tahoma"/>
          <w:b/>
          <w:color w:val="1947BA"/>
          <w:sz w:val="16"/>
          <w:szCs w:val="16"/>
        </w:rPr>
        <w:t xml:space="preserve">Date </w:t>
      </w:r>
      <w:r w:rsidR="00E717F1">
        <w:rPr>
          <w:rFonts w:ascii="Tahoma" w:hAnsi="Tahoma" w:cs="Tahoma"/>
          <w:b/>
          <w:color w:val="1947BA"/>
          <w:sz w:val="16"/>
          <w:szCs w:val="16"/>
        </w:rPr>
        <w:t>Issued</w:t>
      </w:r>
      <w:r w:rsidRPr="00526BED">
        <w:rPr>
          <w:rFonts w:ascii="Tahoma" w:hAnsi="Tahoma" w:cs="Tahoma"/>
          <w:b/>
          <w:color w:val="1947BA"/>
          <w:sz w:val="16"/>
          <w:szCs w:val="16"/>
        </w:rPr>
        <w:t xml:space="preserve">: </w:t>
      </w:r>
      <w:r w:rsidR="00AF6779">
        <w:rPr>
          <w:rFonts w:ascii="Tahoma" w:hAnsi="Tahoma" w:cs="Tahoma"/>
          <w:b/>
          <w:color w:val="1947BA"/>
          <w:sz w:val="16"/>
          <w:szCs w:val="16"/>
        </w:rPr>
        <w:t xml:space="preserve">Feb </w:t>
      </w:r>
      <w:r w:rsidR="001116E1">
        <w:rPr>
          <w:rFonts w:ascii="Tahoma" w:hAnsi="Tahoma" w:cs="Tahoma"/>
          <w:b/>
          <w:color w:val="1947BA"/>
          <w:sz w:val="16"/>
          <w:szCs w:val="16"/>
        </w:rPr>
        <w:t>2026</w:t>
      </w:r>
    </w:p>
    <w:p w14:paraId="24533213" w14:textId="77777777" w:rsidR="00526BED" w:rsidRDefault="00526BED" w:rsidP="00D6012C">
      <w:pPr>
        <w:pStyle w:val="BodyText"/>
        <w:jc w:val="both"/>
        <w:rPr>
          <w:rFonts w:ascii="Tahoma" w:hAnsi="Tahoma" w:cs="Tahoma"/>
          <w:b/>
          <w:color w:val="1947BA"/>
          <w:sz w:val="6"/>
          <w:szCs w:val="6"/>
        </w:rPr>
      </w:pPr>
    </w:p>
    <w:p w14:paraId="6AAFBCDC" w14:textId="77777777" w:rsidR="00E4061C" w:rsidRPr="005E6739" w:rsidRDefault="00E4061C" w:rsidP="00D6012C">
      <w:pPr>
        <w:pStyle w:val="BodyText"/>
        <w:jc w:val="both"/>
        <w:rPr>
          <w:rFonts w:ascii="Tahoma" w:hAnsi="Tahoma" w:cs="Tahoma"/>
          <w:b/>
          <w:color w:val="1947BA"/>
          <w:sz w:val="6"/>
          <w:szCs w:val="6"/>
        </w:rPr>
      </w:pPr>
    </w:p>
    <w:p w14:paraId="61D7C799" w14:textId="2843A4C2" w:rsidR="0020438E" w:rsidRPr="00D6012C" w:rsidRDefault="005E6739" w:rsidP="00D6012C">
      <w:pPr>
        <w:pStyle w:val="BodyText"/>
        <w:jc w:val="both"/>
        <w:rPr>
          <w:rFonts w:ascii="Tahoma" w:hAnsi="Tahoma" w:cs="Tahoma"/>
          <w:b/>
          <w:color w:val="1947BA"/>
          <w:sz w:val="22"/>
          <w:szCs w:val="22"/>
        </w:rPr>
      </w:pPr>
      <w:r w:rsidRPr="00D6012C">
        <w:rPr>
          <w:rFonts w:ascii="Tahoma" w:hAnsi="Tahoma" w:cs="Tahoma"/>
          <w:b/>
          <w:color w:val="1947BA"/>
          <w:sz w:val="22"/>
          <w:szCs w:val="22"/>
        </w:rPr>
        <w:t xml:space="preserve">JOB </w:t>
      </w:r>
      <w:r>
        <w:rPr>
          <w:rFonts w:ascii="Tahoma" w:hAnsi="Tahoma" w:cs="Tahoma"/>
          <w:b/>
          <w:color w:val="1947BA"/>
          <w:sz w:val="22"/>
          <w:szCs w:val="22"/>
        </w:rPr>
        <w:t>D</w:t>
      </w:r>
      <w:r w:rsidRPr="00D6012C">
        <w:rPr>
          <w:rFonts w:ascii="Tahoma" w:hAnsi="Tahoma" w:cs="Tahoma"/>
          <w:b/>
          <w:color w:val="1947BA"/>
          <w:sz w:val="22"/>
          <w:szCs w:val="22"/>
        </w:rPr>
        <w:t>ESCRIPTION</w:t>
      </w:r>
    </w:p>
    <w:p w14:paraId="2E113185" w14:textId="77777777" w:rsidR="0020438E" w:rsidRPr="00D6012C" w:rsidRDefault="0020438E" w:rsidP="0020438E">
      <w:pPr>
        <w:pStyle w:val="BodyText"/>
        <w:rPr>
          <w:rFonts w:ascii="Tahoma" w:hAnsi="Tahoma" w:cs="Tahoma"/>
          <w:sz w:val="20"/>
          <w:szCs w:val="20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7638"/>
      </w:tblGrid>
      <w:tr w:rsidR="0020438E" w:rsidRPr="00025D3C" w14:paraId="2AA0FBDC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53C" w14:textId="77777777" w:rsidR="0020438E" w:rsidRPr="00025D3C" w:rsidRDefault="0020438E" w:rsidP="00751518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025D3C">
              <w:rPr>
                <w:rFonts w:ascii="Tahoma" w:hAnsi="Tahoma" w:cs="Tahoma"/>
                <w:b/>
                <w:sz w:val="21"/>
                <w:szCs w:val="21"/>
              </w:rPr>
              <w:t xml:space="preserve">Job Title    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84C" w14:textId="23FC87E1" w:rsidR="0020438E" w:rsidRPr="00ED38A9" w:rsidRDefault="00E072CA" w:rsidP="00751518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H</w:t>
            </w:r>
            <w:r w:rsidR="00AF6779">
              <w:rPr>
                <w:rFonts w:ascii="Tahoma" w:hAnsi="Tahoma" w:cs="Tahoma"/>
                <w:sz w:val="21"/>
                <w:szCs w:val="21"/>
              </w:rPr>
              <w:t>R Services Manager</w:t>
            </w:r>
          </w:p>
        </w:tc>
      </w:tr>
      <w:tr w:rsidR="0020438E" w:rsidRPr="00025D3C" w14:paraId="333514F8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F00" w14:textId="77777777" w:rsidR="0020438E" w:rsidRPr="00025D3C" w:rsidRDefault="0020438E" w:rsidP="00751518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025D3C">
              <w:rPr>
                <w:rFonts w:ascii="Tahoma" w:hAnsi="Tahoma" w:cs="Tahoma"/>
                <w:b/>
                <w:sz w:val="21"/>
                <w:szCs w:val="21"/>
              </w:rPr>
              <w:t>Reports to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929" w14:textId="286C73EA" w:rsidR="0020438E" w:rsidRPr="00F35525" w:rsidRDefault="00AF6779" w:rsidP="00751518">
            <w:pPr>
              <w:spacing w:before="120"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Head of HR Services</w:t>
            </w:r>
          </w:p>
        </w:tc>
      </w:tr>
      <w:tr w:rsidR="00774CED" w:rsidRPr="00025D3C" w14:paraId="73864F93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8E9" w14:textId="4BDD58BE" w:rsidR="00774CED" w:rsidRPr="00025D3C" w:rsidRDefault="00774CED" w:rsidP="00751518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Job Purpose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A9B" w14:textId="77777777" w:rsidR="00AE1B1D" w:rsidRDefault="00AE1B1D" w:rsidP="00F2795D">
            <w:pPr>
              <w:ind w:right="-1"/>
              <w:jc w:val="both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</w:pPr>
          </w:p>
          <w:p w14:paraId="69602661" w14:textId="00DF9845" w:rsidR="00527C23" w:rsidRDefault="00527C23" w:rsidP="00F2795D">
            <w:pPr>
              <w:ind w:right="-1"/>
              <w:jc w:val="both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The HR Services Manager </w:t>
            </w:r>
            <w:r w:rsidR="00644E87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plays a central role in ensuring that </w:t>
            </w:r>
            <w:r w:rsidR="00E55964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potential new team members experience </w:t>
            </w:r>
            <w:r w:rsidR="00A63553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a seamless, positive </w:t>
            </w:r>
            <w:r w:rsidR="000A5551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>onboarding</w:t>
            </w:r>
            <w:r w:rsidR="00A63553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 journey, giving the best possible</w:t>
            </w:r>
            <w:r w:rsidR="000A5551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 start to their career with Achieve together. </w:t>
            </w:r>
          </w:p>
          <w:p w14:paraId="064FFC5E" w14:textId="77777777" w:rsidR="000A5551" w:rsidRDefault="000A5551" w:rsidP="00F2795D">
            <w:pPr>
              <w:ind w:right="-1"/>
              <w:jc w:val="both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</w:pPr>
          </w:p>
          <w:p w14:paraId="61160D8A" w14:textId="4F9A0E0D" w:rsidR="009E0E5C" w:rsidRDefault="000A5551" w:rsidP="00F2795D">
            <w:pPr>
              <w:ind w:right="-1"/>
              <w:jc w:val="both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The role is accountable for </w:t>
            </w:r>
            <w:r w:rsidR="0023371D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leading a team that will deliver </w:t>
            </w: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all pre-employment </w:t>
            </w:r>
            <w:r w:rsidR="00F76FEB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and on-boarding </w:t>
            </w: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>checks a</w:t>
            </w:r>
            <w:r w:rsidR="0023371D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cross all </w:t>
            </w:r>
            <w:r w:rsidR="006C54D4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>areas</w:t>
            </w:r>
            <w:r w:rsidR="0023371D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 within the organisation, ensuring that these are completed </w:t>
            </w:r>
            <w:r w:rsidR="00877074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>at pace and with accuracy</w:t>
            </w:r>
            <w:r w:rsidR="009E0E5C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, protecting Achieve together from any compliance risks. </w:t>
            </w:r>
          </w:p>
          <w:p w14:paraId="5B6256BE" w14:textId="77777777" w:rsidR="009E0E5C" w:rsidRDefault="009E0E5C" w:rsidP="00F2795D">
            <w:pPr>
              <w:ind w:right="-1"/>
              <w:jc w:val="both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</w:pPr>
          </w:p>
          <w:p w14:paraId="205AD116" w14:textId="6819DC9A" w:rsidR="009E0E5C" w:rsidRPr="009E0E5C" w:rsidRDefault="009E0E5C" w:rsidP="00F2795D">
            <w:pPr>
              <w:ind w:right="-1"/>
              <w:jc w:val="both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The HR Services Manager will </w:t>
            </w:r>
            <w:r w:rsidR="003405F8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also </w:t>
            </w: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be responsible for providing support to the wider </w:t>
            </w:r>
            <w:r w:rsidR="00F76FEB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</w:rPr>
              <w:t xml:space="preserve">team, ensuring that all administrative aspects of the team member employee life cycle are completed according to organisation demand. </w:t>
            </w:r>
          </w:p>
          <w:p w14:paraId="1363B793" w14:textId="47997C49" w:rsidR="00AE1B1D" w:rsidRPr="00ED38A9" w:rsidRDefault="00AE1B1D" w:rsidP="00F76FEB">
            <w:pPr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3EA7" w:rsidRPr="00025D3C" w14:paraId="39A3DBC3" w14:textId="77777777" w:rsidTr="00317335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FDC" w14:textId="6DE50734" w:rsidR="00403EA7" w:rsidRDefault="00403EA7" w:rsidP="00751518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Key Deliverables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031" w14:textId="20C7F8C0" w:rsidR="00576FE6" w:rsidRDefault="00576FE6" w:rsidP="00677F6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Leadership</w:t>
            </w:r>
            <w:r w:rsidR="001C6B75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and performance management</w:t>
            </w: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of a team of HR Services Administrators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, </w:t>
            </w:r>
            <w:r w:rsidR="001C6B75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ensuring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fair work distribution</w:t>
            </w:r>
            <w:r w:rsidR="001C6B75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and output. </w:t>
            </w:r>
          </w:p>
          <w:p w14:paraId="37864ECD" w14:textId="6C603762" w:rsidR="00576FE6" w:rsidRDefault="00576FE6" w:rsidP="00677F6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Oversight and accountability for the effective delivery of all on-boarding operations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.</w:t>
            </w: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</w:t>
            </w:r>
          </w:p>
          <w:p w14:paraId="7422F525" w14:textId="6045AF3A" w:rsidR="009C349B" w:rsidRDefault="00576FE6" w:rsidP="00677F6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Ensuring team compliance with all relevant legislation (including CQC, CIW, Skills for Care)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.</w:t>
            </w:r>
          </w:p>
          <w:p w14:paraId="22DEA6DC" w14:textId="7E0350F4" w:rsidR="00576FE6" w:rsidRDefault="00576FE6" w:rsidP="00677F6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Working collaboratively across all key stakeholder groups </w:t>
            </w:r>
            <w:r w:rsidR="00764A55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and cross-functionally as required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.</w:t>
            </w:r>
          </w:p>
          <w:p w14:paraId="7824DF9F" w14:textId="3E632EB3" w:rsidR="00576FE6" w:rsidRPr="000763F6" w:rsidRDefault="00576FE6" w:rsidP="00677F6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Driving process improvement, utilising latest technology to drive organisational efficiency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.</w:t>
            </w:r>
          </w:p>
        </w:tc>
      </w:tr>
      <w:tr w:rsidR="0020438E" w:rsidRPr="00025D3C" w14:paraId="1BA53CE9" w14:textId="77777777" w:rsidTr="00317335">
        <w:trPr>
          <w:trHeight w:val="982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73A" w14:textId="0BCF4FD8" w:rsidR="0020438E" w:rsidRPr="00025D3C" w:rsidRDefault="00FC3B6E" w:rsidP="00751518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Key Accountabilities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E1F" w14:textId="77777777" w:rsidR="000C5245" w:rsidRDefault="000C5245" w:rsidP="00855D1D">
            <w:pP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</w:p>
          <w:p w14:paraId="1861CC7C" w14:textId="5C5C95EF" w:rsidR="00764A55" w:rsidRDefault="00764A55" w:rsidP="00764A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Leading, motivating and developing a team of HR Administrators to deliver a consistent, high quality </w:t>
            </w:r>
            <w:r w:rsidR="00C94F42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and efficient candidate focused service. </w:t>
            </w:r>
          </w:p>
          <w:p w14:paraId="56A2477F" w14:textId="4C3F9EE7" w:rsidR="001C6B75" w:rsidRDefault="001C6B75" w:rsidP="00764A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Setting clear performance expectations and monitoring </w:t>
            </w:r>
            <w:r w:rsidR="000D5241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against organisation KPI’s and </w:t>
            </w:r>
            <w:proofErr w:type="gramStart"/>
            <w:r w:rsidR="000D5241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SLA’s</w:t>
            </w:r>
            <w:proofErr w:type="gramEnd"/>
            <w:r w:rsidR="000D5241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. </w:t>
            </w:r>
          </w:p>
          <w:p w14:paraId="7F6F6FCF" w14:textId="3F972C7C" w:rsidR="000D5241" w:rsidRDefault="000D5241" w:rsidP="00764A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14" w:hanging="357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Fostering a team culture of accuracy, accountability and continuous improvement through regular reviews and audits. </w:t>
            </w:r>
          </w:p>
          <w:p w14:paraId="622BDBD4" w14:textId="4BF5AC12" w:rsidR="00576FE6" w:rsidRDefault="000D5241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Overseeing the end-to-end onboarding process for all new team members, including support workers, community hub and wider operational roles. </w:t>
            </w:r>
          </w:p>
          <w:p w14:paraId="3F36029F" w14:textId="2450BEB2" w:rsidR="000D5241" w:rsidRDefault="000D5241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Ensuring all mandatory pre-employment checks are completed, including DBS, references, training certificates and health declarations. </w:t>
            </w:r>
          </w:p>
          <w:p w14:paraId="6356DB55" w14:textId="62D11265" w:rsidR="000D5241" w:rsidRDefault="000D5241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Coordinating start dates and ensuring all new starter information, such as pay roll information is completed ahead of </w:t>
            </w:r>
            <w:r w:rsidR="00990948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joining. </w:t>
            </w:r>
          </w:p>
          <w:p w14:paraId="7FF04802" w14:textId="7807F3E4" w:rsidR="00B465AA" w:rsidRDefault="00990948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lang w:eastAsia="en-GB"/>
              </w:rPr>
            </w:pPr>
            <w:r w:rsidRPr="00B465AA">
              <w:rPr>
                <w:rFonts w:ascii="Tahoma" w:eastAsia="Times New Roman" w:hAnsi="Tahoma" w:cs="Tahoma"/>
                <w:lang w:eastAsia="en-GB"/>
              </w:rPr>
              <w:t>Accountability for</w:t>
            </w:r>
            <w:r w:rsidR="00B465AA" w:rsidRPr="00B465AA">
              <w:rPr>
                <w:rFonts w:ascii="Tahoma" w:eastAsia="Times New Roman" w:hAnsi="Tahoma" w:cs="Tahoma"/>
                <w:lang w:eastAsia="en-GB"/>
              </w:rPr>
              <w:t xml:space="preserve"> ensuring</w:t>
            </w:r>
            <w:r w:rsidRPr="00B465AA">
              <w:rPr>
                <w:rFonts w:ascii="Tahoma" w:eastAsia="Times New Roman" w:hAnsi="Tahoma" w:cs="Tahoma"/>
                <w:lang w:eastAsia="en-GB"/>
              </w:rPr>
              <w:t xml:space="preserve"> the accuracy of onboarding documentation collected</w:t>
            </w:r>
            <w:r w:rsidR="00B465AA" w:rsidRPr="00B465AA">
              <w:rPr>
                <w:rFonts w:ascii="Tahoma" w:eastAsia="Times New Roman" w:hAnsi="Tahoma" w:cs="Tahoma"/>
                <w:lang w:eastAsia="en-GB"/>
              </w:rPr>
              <w:t xml:space="preserve"> by each team member, providing additional </w:t>
            </w:r>
            <w:r w:rsidR="00B465AA" w:rsidRPr="00B465AA">
              <w:rPr>
                <w:rFonts w:ascii="Tahoma" w:eastAsia="Times New Roman" w:hAnsi="Tahoma" w:cs="Tahoma"/>
                <w:lang w:eastAsia="en-GB"/>
              </w:rPr>
              <w:lastRenderedPageBreak/>
              <w:t xml:space="preserve">training where </w:t>
            </w:r>
            <w:r w:rsidR="00B465AA">
              <w:rPr>
                <w:rFonts w:ascii="Tahoma" w:eastAsia="Times New Roman" w:hAnsi="Tahoma" w:cs="Tahoma"/>
                <w:lang w:eastAsia="en-GB"/>
              </w:rPr>
              <w:t xml:space="preserve">required. </w:t>
            </w:r>
          </w:p>
          <w:p w14:paraId="637FA283" w14:textId="5968F39E" w:rsidR="00B465AA" w:rsidRDefault="00B465AA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Ensuring all onboarding processes align to current regulatory requirements (for example CQC, CIW, Safer Recruitment Guidelines).</w:t>
            </w:r>
          </w:p>
          <w:p w14:paraId="5EDF6F95" w14:textId="549B62F5" w:rsidR="00B465AA" w:rsidRDefault="00B465AA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Collaborating with the wider recruitment, HR, learning and development and operational teams, fostering an inspection ready culture. </w:t>
            </w:r>
          </w:p>
          <w:p w14:paraId="3906C4DD" w14:textId="2F7159DA" w:rsidR="00B465AA" w:rsidRDefault="00B465AA" w:rsidP="000D5241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Partnering with organisation hiring managers </w:t>
            </w:r>
            <w:r w:rsidR="00C43A25">
              <w:rPr>
                <w:rFonts w:ascii="Tahoma" w:eastAsia="Times New Roman" w:hAnsi="Tahoma" w:cs="Tahoma"/>
                <w:lang w:eastAsia="en-GB"/>
              </w:rPr>
              <w:t>to provide advice on potential on-boarding challenges and agree resolution.</w:t>
            </w:r>
          </w:p>
          <w:p w14:paraId="0E12F4A8" w14:textId="111D5325" w:rsidR="00045D86" w:rsidRDefault="00045D86" w:rsidP="00B465AA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Maintaining strong awareness of market trends, technological advancements and </w:t>
            </w:r>
            <w:r w:rsidR="00AB79F0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overall policy, to drive continuous improvement </w:t>
            </w:r>
            <w:r w:rsidR="00E46F87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and efficiencies </w:t>
            </w:r>
            <w:r w:rsidR="00AB79F0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within the </w:t>
            </w:r>
            <w:r w:rsidR="00E46F87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HR Services team. </w:t>
            </w:r>
          </w:p>
          <w:p w14:paraId="3FE8B14B" w14:textId="77777777" w:rsidR="00C84572" w:rsidRDefault="00C84572" w:rsidP="00B465AA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Proactively identify opportunities to enhance the onboarding journey, reducing time to hire and improving candidate engagement. </w:t>
            </w:r>
          </w:p>
          <w:p w14:paraId="2B516306" w14:textId="62BB12A5" w:rsidR="00E46F87" w:rsidRDefault="00C84572" w:rsidP="00B465AA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>Collating, providing and presenting management information and reports t</w:t>
            </w:r>
            <w:r w:rsidR="001165D2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o relevant stakeholders. </w:t>
            </w:r>
          </w:p>
          <w:p w14:paraId="1E85C886" w14:textId="4CDCF045" w:rsidR="001165D2" w:rsidRPr="00045D86" w:rsidRDefault="001165D2" w:rsidP="00B465AA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>Working cross-functionally with the wider HR Services team to upskill team members</w:t>
            </w:r>
            <w:r w:rsidR="00D96ACA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 to</w:t>
            </w: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 </w:t>
            </w:r>
            <w:r w:rsidR="00D96ACA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allow cover during periods of high volume. </w:t>
            </w:r>
          </w:p>
          <w:p w14:paraId="36BD6A56" w14:textId="6C730FFD" w:rsidR="00855D1D" w:rsidRPr="006C54D4" w:rsidRDefault="008A653D" w:rsidP="006C54D4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>Providin</w:t>
            </w:r>
            <w:r w:rsidR="006C54D4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g an escalation point for challenging on-boarding issues and challenges. </w:t>
            </w:r>
          </w:p>
        </w:tc>
      </w:tr>
    </w:tbl>
    <w:p w14:paraId="7174EDD0" w14:textId="08C67899" w:rsidR="001A79D0" w:rsidRDefault="001A79D0" w:rsidP="001A79D0">
      <w:pPr>
        <w:ind w:left="-105"/>
        <w:rPr>
          <w:rFonts w:ascii="Tahoma" w:hAnsi="Tahoma" w:cs="Tahoma"/>
          <w:b/>
          <w:color w:val="1947BA"/>
          <w:sz w:val="22"/>
          <w:szCs w:val="22"/>
        </w:rPr>
      </w:pPr>
      <w:r>
        <w:rPr>
          <w:rFonts w:ascii="Tahoma" w:hAnsi="Tahoma" w:cs="Tahoma"/>
          <w:b/>
          <w:color w:val="1947BA"/>
          <w:sz w:val="22"/>
          <w:szCs w:val="22"/>
        </w:rPr>
        <w:lastRenderedPageBreak/>
        <w:br/>
      </w:r>
    </w:p>
    <w:p w14:paraId="08B18DC4" w14:textId="577CFFFA" w:rsidR="001A79D0" w:rsidRPr="00025D3C" w:rsidRDefault="001A79D0" w:rsidP="001A79D0">
      <w:pPr>
        <w:ind w:left="-105"/>
        <w:rPr>
          <w:rFonts w:ascii="Tahoma" w:hAnsi="Tahoma" w:cs="Tahoma"/>
          <w:b/>
          <w:color w:val="1947BA"/>
          <w:sz w:val="22"/>
          <w:szCs w:val="22"/>
        </w:rPr>
      </w:pPr>
      <w:r w:rsidRPr="00025D3C">
        <w:rPr>
          <w:rFonts w:ascii="Tahoma" w:hAnsi="Tahoma" w:cs="Tahoma"/>
          <w:b/>
          <w:color w:val="1947BA"/>
          <w:sz w:val="22"/>
          <w:szCs w:val="22"/>
        </w:rPr>
        <w:t>PERSON SPECIFICATION</w:t>
      </w:r>
    </w:p>
    <w:p w14:paraId="03AF3E5D" w14:textId="77777777" w:rsidR="0020438E" w:rsidRPr="00D6012C" w:rsidRDefault="0020438E" w:rsidP="0020438E">
      <w:pPr>
        <w:spacing w:line="280" w:lineRule="atLeast"/>
        <w:rPr>
          <w:rFonts w:ascii="Tahoma" w:eastAsia="Times New Roman" w:hAnsi="Tahoma" w:cs="Tahoma"/>
          <w:b/>
          <w:sz w:val="20"/>
          <w:szCs w:val="20"/>
          <w:highlight w:val="yellow"/>
        </w:rPr>
      </w:pPr>
    </w:p>
    <w:tbl>
      <w:tblPr>
        <w:tblW w:w="9632" w:type="dxa"/>
        <w:tblInd w:w="-5" w:type="dxa"/>
        <w:tblLook w:val="04A0" w:firstRow="1" w:lastRow="0" w:firstColumn="1" w:lastColumn="0" w:noHBand="0" w:noVBand="1"/>
      </w:tblPr>
      <w:tblGrid>
        <w:gridCol w:w="2098"/>
        <w:gridCol w:w="7534"/>
      </w:tblGrid>
      <w:tr w:rsidR="00EC55AB" w:rsidRPr="00F404E1" w14:paraId="2CE78C0D" w14:textId="77777777" w:rsidTr="001A79D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A22" w14:textId="42653ABE" w:rsidR="0020438E" w:rsidRPr="003107BD" w:rsidRDefault="005B3FC9" w:rsidP="003107BD">
            <w:pPr>
              <w:spacing w:before="120" w:after="120"/>
              <w:rPr>
                <w:rFonts w:ascii="Tahoma" w:hAnsi="Tahoma" w:cs="Tahoma"/>
                <w:b/>
                <w:sz w:val="21"/>
                <w:szCs w:val="21"/>
              </w:rPr>
            </w:pPr>
            <w:r w:rsidRPr="003107BD">
              <w:rPr>
                <w:rFonts w:ascii="Tahoma" w:hAnsi="Tahoma" w:cs="Tahoma"/>
                <w:b/>
                <w:sz w:val="21"/>
                <w:szCs w:val="21"/>
              </w:rPr>
              <w:t>Knowledge and Experience</w:t>
            </w:r>
          </w:p>
          <w:p w14:paraId="702ECEFC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EC78212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6D5D55D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4672F0B" w14:textId="77777777" w:rsidR="0020438E" w:rsidRPr="00F404E1" w:rsidRDefault="0020438E" w:rsidP="00F404E1">
            <w:pPr>
              <w:spacing w:before="120" w:after="60" w:line="259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BA4" w14:textId="26486732" w:rsidR="00F76FEB" w:rsidRDefault="00BE1DA0" w:rsidP="00F76FEB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Experience of managing on-boarding, HR administration and recruitment processes, ideally within the care or associated sector. </w:t>
            </w:r>
          </w:p>
          <w:p w14:paraId="50E9601B" w14:textId="27A5FADF" w:rsidR="00BE1DA0" w:rsidRDefault="00BE1DA0" w:rsidP="00F76FEB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Strong understanding of Safer recruitment practices and working within a regulated environment. </w:t>
            </w:r>
          </w:p>
          <w:p w14:paraId="05379193" w14:textId="3BBDF827" w:rsidR="00BE1DA0" w:rsidRDefault="00BE1DA0" w:rsidP="00F76FEB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Excellent organisation skills, with the ability to manage multiple priorities. </w:t>
            </w:r>
          </w:p>
          <w:p w14:paraId="2B9370E7" w14:textId="5F8BFA15" w:rsidR="00BE1DA0" w:rsidRDefault="00BE1DA0" w:rsidP="00F76FEB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Confident and calm communication skills. </w:t>
            </w:r>
          </w:p>
          <w:p w14:paraId="117DC19E" w14:textId="70655219" w:rsidR="00BE1DA0" w:rsidRDefault="00BE1DA0" w:rsidP="00BE1DA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Proven ability to lead, develop and motivate a team. </w:t>
            </w:r>
          </w:p>
          <w:p w14:paraId="268A93AF" w14:textId="6EB55D11" w:rsidR="00BE1DA0" w:rsidRDefault="00BE1DA0" w:rsidP="00BE1DA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High attention to detail and commitment to accuracy. </w:t>
            </w:r>
          </w:p>
          <w:p w14:paraId="3EF24FB6" w14:textId="6D99439D" w:rsidR="00BE1DA0" w:rsidRDefault="000813DA" w:rsidP="00BE1DA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Previous experience working with CQC, CIW regulated services is preferred. </w:t>
            </w:r>
          </w:p>
          <w:p w14:paraId="6584A62A" w14:textId="33876778" w:rsidR="00BE1DA0" w:rsidRPr="00732F49" w:rsidRDefault="000813DA" w:rsidP="00732F4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300" w:lineRule="atLeast"/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Familiarity working with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TribePad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and/or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>iTrent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 </w:t>
            </w:r>
            <w:r w:rsidR="00732F49">
              <w:rPr>
                <w:rFonts w:ascii="Tahoma" w:eastAsia="Times New Roman" w:hAnsi="Tahoma" w:cs="Tahoma"/>
                <w:sz w:val="21"/>
                <w:szCs w:val="21"/>
                <w:bdr w:val="none" w:sz="0" w:space="0" w:color="auto"/>
                <w:lang w:val="en-GB" w:eastAsia="en-GB"/>
              </w:rPr>
              <w:t xml:space="preserve">is desirable but not essential for the role. </w:t>
            </w:r>
          </w:p>
        </w:tc>
      </w:tr>
    </w:tbl>
    <w:p w14:paraId="46E344C4" w14:textId="77777777" w:rsidR="007E2988" w:rsidRPr="004E6BD7" w:rsidRDefault="007E2988" w:rsidP="004E6BD7">
      <w:pPr>
        <w:spacing w:before="120" w:after="60" w:line="259" w:lineRule="auto"/>
        <w:jc w:val="both"/>
        <w:rPr>
          <w:rFonts w:ascii="Tahoma" w:hAnsi="Tahoma" w:cs="Tahoma"/>
          <w:sz w:val="21"/>
          <w:szCs w:val="21"/>
        </w:rPr>
      </w:pPr>
    </w:p>
    <w:sectPr w:rsidR="007E2988" w:rsidRPr="004E6BD7" w:rsidSect="008645FF">
      <w:headerReference w:type="default" r:id="rId11"/>
      <w:footerReference w:type="default" r:id="rId12"/>
      <w:pgSz w:w="11900" w:h="16840"/>
      <w:pgMar w:top="1134" w:right="1134" w:bottom="255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1304" w14:textId="77777777" w:rsidR="005950AC" w:rsidRDefault="005950AC">
      <w:r>
        <w:separator/>
      </w:r>
    </w:p>
  </w:endnote>
  <w:endnote w:type="continuationSeparator" w:id="0">
    <w:p w14:paraId="55E8288C" w14:textId="77777777" w:rsidR="005950AC" w:rsidRDefault="005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3D76" w14:textId="235A9932" w:rsidR="003B6431" w:rsidRDefault="00B97DBE">
    <w:pPr>
      <w:pStyle w:val="HeaderFooter"/>
      <w:rPr>
        <w:rFonts w:hint="eastAsia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43D08DC" wp14:editId="36964FC1">
          <wp:simplePos x="0" y="0"/>
          <wp:positionH relativeFrom="page">
            <wp:posOffset>3019425</wp:posOffset>
          </wp:positionH>
          <wp:positionV relativeFrom="margin">
            <wp:posOffset>8471535</wp:posOffset>
          </wp:positionV>
          <wp:extent cx="2895600" cy="933450"/>
          <wp:effectExtent l="0" t="0" r="0" b="0"/>
          <wp:wrapSquare wrapText="bothSides"/>
          <wp:docPr id="648118035" name="Picture 64811803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2" t="8900" r="6567" b="3876"/>
                  <a:stretch/>
                </pic:blipFill>
                <pic:spPr bwMode="auto">
                  <a:xfrm>
                    <a:off x="0" y="0"/>
                    <a:ext cx="289560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057C" w14:textId="77777777" w:rsidR="005950AC" w:rsidRDefault="005950AC">
      <w:r>
        <w:separator/>
      </w:r>
    </w:p>
  </w:footnote>
  <w:footnote w:type="continuationSeparator" w:id="0">
    <w:p w14:paraId="2077A35B" w14:textId="77777777" w:rsidR="005950AC" w:rsidRDefault="0059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C2F1" w14:textId="5458787E" w:rsidR="003B6431" w:rsidRDefault="005039D0">
    <w:pPr>
      <w:pStyle w:val="Body"/>
    </w:pPr>
    <w:r w:rsidRPr="005039D0"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7845B00C" wp14:editId="55926167">
          <wp:simplePos x="0" y="0"/>
          <wp:positionH relativeFrom="margin">
            <wp:posOffset>-619125</wp:posOffset>
          </wp:positionH>
          <wp:positionV relativeFrom="paragraph">
            <wp:posOffset>-345440</wp:posOffset>
          </wp:positionV>
          <wp:extent cx="3048000" cy="602176"/>
          <wp:effectExtent l="0" t="0" r="0" b="7620"/>
          <wp:wrapNone/>
          <wp:docPr id="10" name="Picture 9" descr="A close-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74B3253-1A08-4437-8CAA-55C9347486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-up of a sign&#10;&#10;Description automatically generated">
                    <a:extLst>
                      <a:ext uri="{FF2B5EF4-FFF2-40B4-BE49-F238E27FC236}">
                        <a16:creationId xmlns:a16="http://schemas.microsoft.com/office/drawing/2014/main" id="{E74B3253-1A08-4437-8CAA-55C9347486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602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5680" behindDoc="1" locked="0" layoutInCell="1" allowOverlap="1" wp14:anchorId="605B2167" wp14:editId="454243AD">
          <wp:simplePos x="0" y="0"/>
          <wp:positionH relativeFrom="page">
            <wp:posOffset>5454039</wp:posOffset>
          </wp:positionH>
          <wp:positionV relativeFrom="page">
            <wp:posOffset>0</wp:posOffset>
          </wp:positionV>
          <wp:extent cx="2106017" cy="738480"/>
          <wp:effectExtent l="0" t="0" r="0" b="0"/>
          <wp:wrapNone/>
          <wp:docPr id="1016721429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6017" cy="738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6704" behindDoc="1" locked="0" layoutInCell="1" allowOverlap="1" wp14:anchorId="354281F8" wp14:editId="5380D146">
          <wp:simplePos x="0" y="0"/>
          <wp:positionH relativeFrom="page">
            <wp:posOffset>0</wp:posOffset>
          </wp:positionH>
          <wp:positionV relativeFrom="page">
            <wp:posOffset>9226560</wp:posOffset>
          </wp:positionV>
          <wp:extent cx="7560056" cy="1466840"/>
          <wp:effectExtent l="0" t="0" r="0" b="0"/>
          <wp:wrapNone/>
          <wp:docPr id="94550168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 descr="pasted-image.pdf"/>
                  <pic:cNvPicPr>
                    <a:picLocks noChangeAspect="1"/>
                  </pic:cNvPicPr>
                </pic:nvPicPr>
                <pic:blipFill>
                  <a:blip r:embed="rId3"/>
                  <a:srcRect b="13483"/>
                  <a:stretch>
                    <a:fillRect/>
                  </a:stretch>
                </pic:blipFill>
                <pic:spPr>
                  <a:xfrm>
                    <a:off x="0" y="0"/>
                    <a:ext cx="7560056" cy="1466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FC"/>
    <w:multiLevelType w:val="hybridMultilevel"/>
    <w:tmpl w:val="592A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AF2"/>
    <w:multiLevelType w:val="hybridMultilevel"/>
    <w:tmpl w:val="BDCE1E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41381"/>
    <w:multiLevelType w:val="multilevel"/>
    <w:tmpl w:val="0338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55CD4"/>
    <w:multiLevelType w:val="hybridMultilevel"/>
    <w:tmpl w:val="6D780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C25DE"/>
    <w:multiLevelType w:val="multilevel"/>
    <w:tmpl w:val="D97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D4B19"/>
    <w:multiLevelType w:val="hybridMultilevel"/>
    <w:tmpl w:val="99D2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5F39"/>
    <w:multiLevelType w:val="multilevel"/>
    <w:tmpl w:val="A12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37725"/>
    <w:multiLevelType w:val="multilevel"/>
    <w:tmpl w:val="29EA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11A69"/>
    <w:multiLevelType w:val="hybridMultilevel"/>
    <w:tmpl w:val="ED3E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2FB2"/>
    <w:multiLevelType w:val="multilevel"/>
    <w:tmpl w:val="D46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E3B7D"/>
    <w:multiLevelType w:val="multilevel"/>
    <w:tmpl w:val="F3A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F6AD3"/>
    <w:multiLevelType w:val="multilevel"/>
    <w:tmpl w:val="E44C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06825"/>
    <w:multiLevelType w:val="multilevel"/>
    <w:tmpl w:val="2E6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A7ADA"/>
    <w:multiLevelType w:val="multilevel"/>
    <w:tmpl w:val="8DD2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A0F04"/>
    <w:multiLevelType w:val="multilevel"/>
    <w:tmpl w:val="7AA6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E7FF4"/>
    <w:multiLevelType w:val="multilevel"/>
    <w:tmpl w:val="F48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D1874"/>
    <w:multiLevelType w:val="multilevel"/>
    <w:tmpl w:val="BB7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32723"/>
    <w:multiLevelType w:val="hybridMultilevel"/>
    <w:tmpl w:val="644A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B43F1"/>
    <w:multiLevelType w:val="multilevel"/>
    <w:tmpl w:val="906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32F21"/>
    <w:multiLevelType w:val="multilevel"/>
    <w:tmpl w:val="6CD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A1494"/>
    <w:multiLevelType w:val="hybridMultilevel"/>
    <w:tmpl w:val="FD74F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D85E77"/>
    <w:multiLevelType w:val="multilevel"/>
    <w:tmpl w:val="A2B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A37B4"/>
    <w:multiLevelType w:val="multilevel"/>
    <w:tmpl w:val="5F52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52717"/>
    <w:multiLevelType w:val="multilevel"/>
    <w:tmpl w:val="AB7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5C5A02"/>
    <w:multiLevelType w:val="hybridMultilevel"/>
    <w:tmpl w:val="6256F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4C2F30"/>
    <w:multiLevelType w:val="multilevel"/>
    <w:tmpl w:val="DE6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E4387"/>
    <w:multiLevelType w:val="multilevel"/>
    <w:tmpl w:val="8948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034B2D"/>
    <w:multiLevelType w:val="multilevel"/>
    <w:tmpl w:val="A0C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401727"/>
    <w:multiLevelType w:val="hybridMultilevel"/>
    <w:tmpl w:val="E0908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712A8"/>
    <w:multiLevelType w:val="multilevel"/>
    <w:tmpl w:val="BC2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D2253C"/>
    <w:multiLevelType w:val="multilevel"/>
    <w:tmpl w:val="481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E177A"/>
    <w:multiLevelType w:val="multilevel"/>
    <w:tmpl w:val="969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31712"/>
    <w:multiLevelType w:val="multilevel"/>
    <w:tmpl w:val="A97C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D3EEB"/>
    <w:multiLevelType w:val="hybridMultilevel"/>
    <w:tmpl w:val="8D080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B5636F"/>
    <w:multiLevelType w:val="multilevel"/>
    <w:tmpl w:val="E4B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C60B1"/>
    <w:multiLevelType w:val="hybridMultilevel"/>
    <w:tmpl w:val="5072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A7A17"/>
    <w:multiLevelType w:val="multilevel"/>
    <w:tmpl w:val="366E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91AC4"/>
    <w:multiLevelType w:val="hybridMultilevel"/>
    <w:tmpl w:val="1B3C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9723A"/>
    <w:multiLevelType w:val="hybridMultilevel"/>
    <w:tmpl w:val="EC16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D4849"/>
    <w:multiLevelType w:val="multilevel"/>
    <w:tmpl w:val="9762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A697A"/>
    <w:multiLevelType w:val="hybridMultilevel"/>
    <w:tmpl w:val="83E6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C7D4B"/>
    <w:multiLevelType w:val="multilevel"/>
    <w:tmpl w:val="039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860899">
    <w:abstractNumId w:val="24"/>
  </w:num>
  <w:num w:numId="2" w16cid:durableId="698551838">
    <w:abstractNumId w:val="33"/>
  </w:num>
  <w:num w:numId="3" w16cid:durableId="111368746">
    <w:abstractNumId w:val="3"/>
  </w:num>
  <w:num w:numId="4" w16cid:durableId="334848901">
    <w:abstractNumId w:val="26"/>
  </w:num>
  <w:num w:numId="5" w16cid:durableId="454518122">
    <w:abstractNumId w:val="23"/>
  </w:num>
  <w:num w:numId="6" w16cid:durableId="1280186785">
    <w:abstractNumId w:val="37"/>
  </w:num>
  <w:num w:numId="7" w16cid:durableId="828905968">
    <w:abstractNumId w:val="0"/>
  </w:num>
  <w:num w:numId="8" w16cid:durableId="1280837827">
    <w:abstractNumId w:val="17"/>
  </w:num>
  <w:num w:numId="9" w16cid:durableId="1382291861">
    <w:abstractNumId w:val="38"/>
  </w:num>
  <w:num w:numId="10" w16cid:durableId="638876925">
    <w:abstractNumId w:val="1"/>
  </w:num>
  <w:num w:numId="11" w16cid:durableId="1324506770">
    <w:abstractNumId w:val="28"/>
  </w:num>
  <w:num w:numId="12" w16cid:durableId="1397313197">
    <w:abstractNumId w:val="40"/>
  </w:num>
  <w:num w:numId="13" w16cid:durableId="1024091146">
    <w:abstractNumId w:val="20"/>
  </w:num>
  <w:num w:numId="14" w16cid:durableId="856190818">
    <w:abstractNumId w:val="35"/>
  </w:num>
  <w:num w:numId="15" w16cid:durableId="384794386">
    <w:abstractNumId w:val="36"/>
  </w:num>
  <w:num w:numId="16" w16cid:durableId="1853838146">
    <w:abstractNumId w:val="18"/>
  </w:num>
  <w:num w:numId="17" w16cid:durableId="1012952670">
    <w:abstractNumId w:val="31"/>
  </w:num>
  <w:num w:numId="18" w16cid:durableId="314650317">
    <w:abstractNumId w:val="32"/>
  </w:num>
  <w:num w:numId="19" w16cid:durableId="1124695372">
    <w:abstractNumId w:val="9"/>
  </w:num>
  <w:num w:numId="20" w16cid:durableId="68428025">
    <w:abstractNumId w:val="15"/>
  </w:num>
  <w:num w:numId="21" w16cid:durableId="1350641233">
    <w:abstractNumId w:val="19"/>
  </w:num>
  <w:num w:numId="22" w16cid:durableId="607156603">
    <w:abstractNumId w:val="16"/>
  </w:num>
  <w:num w:numId="23" w16cid:durableId="1509373045">
    <w:abstractNumId w:val="21"/>
  </w:num>
  <w:num w:numId="24" w16cid:durableId="105202023">
    <w:abstractNumId w:val="14"/>
  </w:num>
  <w:num w:numId="25" w16cid:durableId="412776872">
    <w:abstractNumId w:val="25"/>
  </w:num>
  <w:num w:numId="26" w16cid:durableId="685794908">
    <w:abstractNumId w:val="39"/>
  </w:num>
  <w:num w:numId="27" w16cid:durableId="832528160">
    <w:abstractNumId w:val="6"/>
  </w:num>
  <w:num w:numId="28" w16cid:durableId="186677039">
    <w:abstractNumId w:val="11"/>
  </w:num>
  <w:num w:numId="29" w16cid:durableId="1463378205">
    <w:abstractNumId w:val="4"/>
  </w:num>
  <w:num w:numId="30" w16cid:durableId="850879664">
    <w:abstractNumId w:val="34"/>
  </w:num>
  <w:num w:numId="31" w16cid:durableId="2079865248">
    <w:abstractNumId w:val="29"/>
  </w:num>
  <w:num w:numId="32" w16cid:durableId="1139416181">
    <w:abstractNumId w:val="41"/>
  </w:num>
  <w:num w:numId="33" w16cid:durableId="796726260">
    <w:abstractNumId w:val="8"/>
  </w:num>
  <w:num w:numId="34" w16cid:durableId="1297876248">
    <w:abstractNumId w:val="13"/>
  </w:num>
  <w:num w:numId="35" w16cid:durableId="2005429770">
    <w:abstractNumId w:val="7"/>
  </w:num>
  <w:num w:numId="36" w16cid:durableId="786891403">
    <w:abstractNumId w:val="27"/>
  </w:num>
  <w:num w:numId="37" w16cid:durableId="1787311366">
    <w:abstractNumId w:val="12"/>
  </w:num>
  <w:num w:numId="38" w16cid:durableId="1344749676">
    <w:abstractNumId w:val="30"/>
  </w:num>
  <w:num w:numId="39" w16cid:durableId="1817530614">
    <w:abstractNumId w:val="22"/>
  </w:num>
  <w:num w:numId="40" w16cid:durableId="1487163941">
    <w:abstractNumId w:val="5"/>
  </w:num>
  <w:num w:numId="41" w16cid:durableId="1621104108">
    <w:abstractNumId w:val="2"/>
  </w:num>
  <w:num w:numId="42" w16cid:durableId="2146700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31"/>
    <w:rsid w:val="00001D35"/>
    <w:rsid w:val="0000520D"/>
    <w:rsid w:val="00005A09"/>
    <w:rsid w:val="00015F83"/>
    <w:rsid w:val="00016449"/>
    <w:rsid w:val="0001658C"/>
    <w:rsid w:val="00017AEE"/>
    <w:rsid w:val="00020CA0"/>
    <w:rsid w:val="00025D3C"/>
    <w:rsid w:val="0003730A"/>
    <w:rsid w:val="00045D86"/>
    <w:rsid w:val="0004691E"/>
    <w:rsid w:val="00052981"/>
    <w:rsid w:val="0005616B"/>
    <w:rsid w:val="00067BCF"/>
    <w:rsid w:val="00072396"/>
    <w:rsid w:val="00073729"/>
    <w:rsid w:val="000763F6"/>
    <w:rsid w:val="000813DA"/>
    <w:rsid w:val="000859DB"/>
    <w:rsid w:val="00085F58"/>
    <w:rsid w:val="000864E9"/>
    <w:rsid w:val="00087130"/>
    <w:rsid w:val="00090B63"/>
    <w:rsid w:val="000966C5"/>
    <w:rsid w:val="0009693C"/>
    <w:rsid w:val="000A3D5D"/>
    <w:rsid w:val="000A5551"/>
    <w:rsid w:val="000C3CCD"/>
    <w:rsid w:val="000C3CE1"/>
    <w:rsid w:val="000C4EF9"/>
    <w:rsid w:val="000C5245"/>
    <w:rsid w:val="000D046B"/>
    <w:rsid w:val="000D5241"/>
    <w:rsid w:val="000E1F58"/>
    <w:rsid w:val="000E5572"/>
    <w:rsid w:val="000F40A5"/>
    <w:rsid w:val="000F418B"/>
    <w:rsid w:val="000F4488"/>
    <w:rsid w:val="000F505E"/>
    <w:rsid w:val="00100541"/>
    <w:rsid w:val="00102247"/>
    <w:rsid w:val="00102C27"/>
    <w:rsid w:val="00111017"/>
    <w:rsid w:val="001116E1"/>
    <w:rsid w:val="001122E1"/>
    <w:rsid w:val="001165D2"/>
    <w:rsid w:val="00123813"/>
    <w:rsid w:val="00135348"/>
    <w:rsid w:val="00142A57"/>
    <w:rsid w:val="00142ACB"/>
    <w:rsid w:val="001456E9"/>
    <w:rsid w:val="00145E06"/>
    <w:rsid w:val="00154B0B"/>
    <w:rsid w:val="00155DC1"/>
    <w:rsid w:val="001626BB"/>
    <w:rsid w:val="00164FB3"/>
    <w:rsid w:val="0016512C"/>
    <w:rsid w:val="001651F0"/>
    <w:rsid w:val="00174AB4"/>
    <w:rsid w:val="00175BA4"/>
    <w:rsid w:val="00176FE9"/>
    <w:rsid w:val="00181B28"/>
    <w:rsid w:val="001820CA"/>
    <w:rsid w:val="001827CF"/>
    <w:rsid w:val="00187B97"/>
    <w:rsid w:val="001A79D0"/>
    <w:rsid w:val="001B07FE"/>
    <w:rsid w:val="001B4077"/>
    <w:rsid w:val="001B51F7"/>
    <w:rsid w:val="001C359E"/>
    <w:rsid w:val="001C6B75"/>
    <w:rsid w:val="001D04E1"/>
    <w:rsid w:val="001D0971"/>
    <w:rsid w:val="001F2DFE"/>
    <w:rsid w:val="001F79E2"/>
    <w:rsid w:val="001F7DCF"/>
    <w:rsid w:val="00200B04"/>
    <w:rsid w:val="00202348"/>
    <w:rsid w:val="002037B7"/>
    <w:rsid w:val="0020438E"/>
    <w:rsid w:val="00220702"/>
    <w:rsid w:val="00223619"/>
    <w:rsid w:val="00226BBF"/>
    <w:rsid w:val="00226EF7"/>
    <w:rsid w:val="00231646"/>
    <w:rsid w:val="0023371D"/>
    <w:rsid w:val="00235557"/>
    <w:rsid w:val="00235993"/>
    <w:rsid w:val="00250E7B"/>
    <w:rsid w:val="00252D60"/>
    <w:rsid w:val="00254B29"/>
    <w:rsid w:val="00256656"/>
    <w:rsid w:val="00262ACD"/>
    <w:rsid w:val="002637DB"/>
    <w:rsid w:val="0027291F"/>
    <w:rsid w:val="00282ED9"/>
    <w:rsid w:val="00294C39"/>
    <w:rsid w:val="0029760D"/>
    <w:rsid w:val="00297FDF"/>
    <w:rsid w:val="002A5DAA"/>
    <w:rsid w:val="002C3A2E"/>
    <w:rsid w:val="002D2DCD"/>
    <w:rsid w:val="002D5AC5"/>
    <w:rsid w:val="002D5D4D"/>
    <w:rsid w:val="002E4EBC"/>
    <w:rsid w:val="002E72E9"/>
    <w:rsid w:val="002E77FA"/>
    <w:rsid w:val="002F12BD"/>
    <w:rsid w:val="002F1DBA"/>
    <w:rsid w:val="003042CA"/>
    <w:rsid w:val="00307311"/>
    <w:rsid w:val="00307A90"/>
    <w:rsid w:val="003107BD"/>
    <w:rsid w:val="00316588"/>
    <w:rsid w:val="00317335"/>
    <w:rsid w:val="00320C60"/>
    <w:rsid w:val="00326D4D"/>
    <w:rsid w:val="0033326A"/>
    <w:rsid w:val="003405F8"/>
    <w:rsid w:val="0034172D"/>
    <w:rsid w:val="00344A99"/>
    <w:rsid w:val="0034625D"/>
    <w:rsid w:val="00353999"/>
    <w:rsid w:val="00357101"/>
    <w:rsid w:val="00362702"/>
    <w:rsid w:val="00364793"/>
    <w:rsid w:val="00365A42"/>
    <w:rsid w:val="003674CD"/>
    <w:rsid w:val="003704AA"/>
    <w:rsid w:val="003725FF"/>
    <w:rsid w:val="00373244"/>
    <w:rsid w:val="003838EB"/>
    <w:rsid w:val="00385032"/>
    <w:rsid w:val="00385942"/>
    <w:rsid w:val="003900F2"/>
    <w:rsid w:val="003A0031"/>
    <w:rsid w:val="003A6519"/>
    <w:rsid w:val="003B5902"/>
    <w:rsid w:val="003B6431"/>
    <w:rsid w:val="003D0FDB"/>
    <w:rsid w:val="003D1F29"/>
    <w:rsid w:val="003D2519"/>
    <w:rsid w:val="003D4BFD"/>
    <w:rsid w:val="003D77B8"/>
    <w:rsid w:val="003E0ABF"/>
    <w:rsid w:val="003E21AF"/>
    <w:rsid w:val="003E72D6"/>
    <w:rsid w:val="003F4C10"/>
    <w:rsid w:val="003F549A"/>
    <w:rsid w:val="003F568E"/>
    <w:rsid w:val="004000E0"/>
    <w:rsid w:val="0040053B"/>
    <w:rsid w:val="00400DBE"/>
    <w:rsid w:val="0040292F"/>
    <w:rsid w:val="00403EA7"/>
    <w:rsid w:val="004110CC"/>
    <w:rsid w:val="0041226E"/>
    <w:rsid w:val="004166AA"/>
    <w:rsid w:val="004228C4"/>
    <w:rsid w:val="00422D59"/>
    <w:rsid w:val="00426313"/>
    <w:rsid w:val="004278CD"/>
    <w:rsid w:val="00427A8A"/>
    <w:rsid w:val="004309A9"/>
    <w:rsid w:val="00432D50"/>
    <w:rsid w:val="00434FEF"/>
    <w:rsid w:val="00441467"/>
    <w:rsid w:val="0044167B"/>
    <w:rsid w:val="00445338"/>
    <w:rsid w:val="00447659"/>
    <w:rsid w:val="00452C5F"/>
    <w:rsid w:val="004617C2"/>
    <w:rsid w:val="00463A69"/>
    <w:rsid w:val="00467C26"/>
    <w:rsid w:val="00481D90"/>
    <w:rsid w:val="00483635"/>
    <w:rsid w:val="0048698B"/>
    <w:rsid w:val="004A5F8A"/>
    <w:rsid w:val="004A6D17"/>
    <w:rsid w:val="004A7097"/>
    <w:rsid w:val="004A7C3B"/>
    <w:rsid w:val="004B5C62"/>
    <w:rsid w:val="004B69BE"/>
    <w:rsid w:val="004B7E7B"/>
    <w:rsid w:val="004C4C8C"/>
    <w:rsid w:val="004C6889"/>
    <w:rsid w:val="004D0201"/>
    <w:rsid w:val="004D65CE"/>
    <w:rsid w:val="004E29DA"/>
    <w:rsid w:val="004E4C69"/>
    <w:rsid w:val="004E6BD7"/>
    <w:rsid w:val="004F0B6A"/>
    <w:rsid w:val="004F2049"/>
    <w:rsid w:val="004F435C"/>
    <w:rsid w:val="00501001"/>
    <w:rsid w:val="005039D0"/>
    <w:rsid w:val="00513D88"/>
    <w:rsid w:val="005160FC"/>
    <w:rsid w:val="005236DC"/>
    <w:rsid w:val="00526BED"/>
    <w:rsid w:val="00527C23"/>
    <w:rsid w:val="00533A2A"/>
    <w:rsid w:val="00533B1E"/>
    <w:rsid w:val="00540740"/>
    <w:rsid w:val="00540A76"/>
    <w:rsid w:val="005431A1"/>
    <w:rsid w:val="00546CA2"/>
    <w:rsid w:val="005473DF"/>
    <w:rsid w:val="00550B88"/>
    <w:rsid w:val="00554D35"/>
    <w:rsid w:val="00554ED9"/>
    <w:rsid w:val="00575597"/>
    <w:rsid w:val="00575718"/>
    <w:rsid w:val="00576928"/>
    <w:rsid w:val="00576FE6"/>
    <w:rsid w:val="005826E6"/>
    <w:rsid w:val="005841CA"/>
    <w:rsid w:val="005841CD"/>
    <w:rsid w:val="005950AC"/>
    <w:rsid w:val="005A3CCA"/>
    <w:rsid w:val="005A4F6D"/>
    <w:rsid w:val="005A7EBD"/>
    <w:rsid w:val="005B1874"/>
    <w:rsid w:val="005B3FC9"/>
    <w:rsid w:val="005B402E"/>
    <w:rsid w:val="005B7A68"/>
    <w:rsid w:val="005D54A3"/>
    <w:rsid w:val="005E6739"/>
    <w:rsid w:val="005F026F"/>
    <w:rsid w:val="005F0E9A"/>
    <w:rsid w:val="005F4B4D"/>
    <w:rsid w:val="00601C5D"/>
    <w:rsid w:val="00607BC4"/>
    <w:rsid w:val="0061248F"/>
    <w:rsid w:val="00615938"/>
    <w:rsid w:val="006163CA"/>
    <w:rsid w:val="0062031A"/>
    <w:rsid w:val="00622F35"/>
    <w:rsid w:val="00625937"/>
    <w:rsid w:val="00630B34"/>
    <w:rsid w:val="00630BCC"/>
    <w:rsid w:val="00644E87"/>
    <w:rsid w:val="00646956"/>
    <w:rsid w:val="00647D39"/>
    <w:rsid w:val="006515CE"/>
    <w:rsid w:val="00652D1A"/>
    <w:rsid w:val="00660323"/>
    <w:rsid w:val="0066290B"/>
    <w:rsid w:val="00664231"/>
    <w:rsid w:val="006653FB"/>
    <w:rsid w:val="00666642"/>
    <w:rsid w:val="00676246"/>
    <w:rsid w:val="0067649A"/>
    <w:rsid w:val="00677F65"/>
    <w:rsid w:val="0068090D"/>
    <w:rsid w:val="00682966"/>
    <w:rsid w:val="006A1246"/>
    <w:rsid w:val="006B4037"/>
    <w:rsid w:val="006B4BC6"/>
    <w:rsid w:val="006B72A3"/>
    <w:rsid w:val="006C10C5"/>
    <w:rsid w:val="006C54D4"/>
    <w:rsid w:val="006C6BDD"/>
    <w:rsid w:val="006C7810"/>
    <w:rsid w:val="006D0E99"/>
    <w:rsid w:val="006D1E5D"/>
    <w:rsid w:val="006E1A05"/>
    <w:rsid w:val="006E4202"/>
    <w:rsid w:val="006E598E"/>
    <w:rsid w:val="006F294C"/>
    <w:rsid w:val="006F68FF"/>
    <w:rsid w:val="0071102A"/>
    <w:rsid w:val="00716E2E"/>
    <w:rsid w:val="00720BC6"/>
    <w:rsid w:val="00730228"/>
    <w:rsid w:val="00731F16"/>
    <w:rsid w:val="00732F49"/>
    <w:rsid w:val="007404B2"/>
    <w:rsid w:val="00740764"/>
    <w:rsid w:val="0074143F"/>
    <w:rsid w:val="00746495"/>
    <w:rsid w:val="00750292"/>
    <w:rsid w:val="00750B9D"/>
    <w:rsid w:val="00751518"/>
    <w:rsid w:val="007560CE"/>
    <w:rsid w:val="00757863"/>
    <w:rsid w:val="007629E5"/>
    <w:rsid w:val="00764A55"/>
    <w:rsid w:val="0077449E"/>
    <w:rsid w:val="00774CED"/>
    <w:rsid w:val="00775C34"/>
    <w:rsid w:val="00780D62"/>
    <w:rsid w:val="00781C5A"/>
    <w:rsid w:val="007871D8"/>
    <w:rsid w:val="007A4040"/>
    <w:rsid w:val="007A565E"/>
    <w:rsid w:val="007B7AC0"/>
    <w:rsid w:val="007C0E27"/>
    <w:rsid w:val="007C18F0"/>
    <w:rsid w:val="007C70FB"/>
    <w:rsid w:val="007D359D"/>
    <w:rsid w:val="007D7C3A"/>
    <w:rsid w:val="007E1FBB"/>
    <w:rsid w:val="007E2988"/>
    <w:rsid w:val="007F441D"/>
    <w:rsid w:val="007F477E"/>
    <w:rsid w:val="007F4F3A"/>
    <w:rsid w:val="007F77D4"/>
    <w:rsid w:val="008031C9"/>
    <w:rsid w:val="00805132"/>
    <w:rsid w:val="00806DB1"/>
    <w:rsid w:val="00814373"/>
    <w:rsid w:val="00815B8C"/>
    <w:rsid w:val="0082642D"/>
    <w:rsid w:val="00827F92"/>
    <w:rsid w:val="008339CA"/>
    <w:rsid w:val="008352CE"/>
    <w:rsid w:val="008416CC"/>
    <w:rsid w:val="00842CD1"/>
    <w:rsid w:val="00845A4A"/>
    <w:rsid w:val="00855D1D"/>
    <w:rsid w:val="008637B4"/>
    <w:rsid w:val="008645FF"/>
    <w:rsid w:val="00866347"/>
    <w:rsid w:val="008665A7"/>
    <w:rsid w:val="00866610"/>
    <w:rsid w:val="00870A2A"/>
    <w:rsid w:val="00877074"/>
    <w:rsid w:val="0088370D"/>
    <w:rsid w:val="00885FA3"/>
    <w:rsid w:val="00887604"/>
    <w:rsid w:val="0088771B"/>
    <w:rsid w:val="00887B67"/>
    <w:rsid w:val="0089386C"/>
    <w:rsid w:val="008A062A"/>
    <w:rsid w:val="008A1195"/>
    <w:rsid w:val="008A34F6"/>
    <w:rsid w:val="008A620A"/>
    <w:rsid w:val="008A653D"/>
    <w:rsid w:val="008B0AE2"/>
    <w:rsid w:val="008D0662"/>
    <w:rsid w:val="008D188E"/>
    <w:rsid w:val="008D4277"/>
    <w:rsid w:val="008D51BD"/>
    <w:rsid w:val="008E3546"/>
    <w:rsid w:val="008E3DBB"/>
    <w:rsid w:val="008F743A"/>
    <w:rsid w:val="009000AA"/>
    <w:rsid w:val="00902035"/>
    <w:rsid w:val="009078A1"/>
    <w:rsid w:val="0091040F"/>
    <w:rsid w:val="0091252A"/>
    <w:rsid w:val="00915737"/>
    <w:rsid w:val="009208F9"/>
    <w:rsid w:val="009222C7"/>
    <w:rsid w:val="00934C2C"/>
    <w:rsid w:val="00940103"/>
    <w:rsid w:val="00942BA0"/>
    <w:rsid w:val="00947973"/>
    <w:rsid w:val="00950723"/>
    <w:rsid w:val="00951B6A"/>
    <w:rsid w:val="00954021"/>
    <w:rsid w:val="009544BD"/>
    <w:rsid w:val="00960135"/>
    <w:rsid w:val="00960A89"/>
    <w:rsid w:val="00966325"/>
    <w:rsid w:val="00966D44"/>
    <w:rsid w:val="00967BBA"/>
    <w:rsid w:val="00976328"/>
    <w:rsid w:val="00977726"/>
    <w:rsid w:val="009875DF"/>
    <w:rsid w:val="00990948"/>
    <w:rsid w:val="00992D98"/>
    <w:rsid w:val="009937D0"/>
    <w:rsid w:val="009A5BB2"/>
    <w:rsid w:val="009B0C84"/>
    <w:rsid w:val="009B1CD5"/>
    <w:rsid w:val="009B4930"/>
    <w:rsid w:val="009B4E1C"/>
    <w:rsid w:val="009B6737"/>
    <w:rsid w:val="009C16F0"/>
    <w:rsid w:val="009C349B"/>
    <w:rsid w:val="009E0E5C"/>
    <w:rsid w:val="009E2A21"/>
    <w:rsid w:val="009E64D2"/>
    <w:rsid w:val="009F04A1"/>
    <w:rsid w:val="009F258A"/>
    <w:rsid w:val="009F329F"/>
    <w:rsid w:val="00A00320"/>
    <w:rsid w:val="00A003E9"/>
    <w:rsid w:val="00A01600"/>
    <w:rsid w:val="00A10F50"/>
    <w:rsid w:val="00A127A7"/>
    <w:rsid w:val="00A14839"/>
    <w:rsid w:val="00A24F74"/>
    <w:rsid w:val="00A4085D"/>
    <w:rsid w:val="00A50EBA"/>
    <w:rsid w:val="00A51015"/>
    <w:rsid w:val="00A52A0C"/>
    <w:rsid w:val="00A52E1C"/>
    <w:rsid w:val="00A543B7"/>
    <w:rsid w:val="00A5596C"/>
    <w:rsid w:val="00A60B10"/>
    <w:rsid w:val="00A61850"/>
    <w:rsid w:val="00A62786"/>
    <w:rsid w:val="00A63553"/>
    <w:rsid w:val="00A7156E"/>
    <w:rsid w:val="00A7372B"/>
    <w:rsid w:val="00A743C9"/>
    <w:rsid w:val="00A75763"/>
    <w:rsid w:val="00A75AF6"/>
    <w:rsid w:val="00A75DA1"/>
    <w:rsid w:val="00A821B1"/>
    <w:rsid w:val="00A86998"/>
    <w:rsid w:val="00A91154"/>
    <w:rsid w:val="00A91FE9"/>
    <w:rsid w:val="00A9467E"/>
    <w:rsid w:val="00A9482E"/>
    <w:rsid w:val="00A9528C"/>
    <w:rsid w:val="00A96B7C"/>
    <w:rsid w:val="00A976BA"/>
    <w:rsid w:val="00A97D31"/>
    <w:rsid w:val="00A97E5C"/>
    <w:rsid w:val="00AA0B7B"/>
    <w:rsid w:val="00AA4F9E"/>
    <w:rsid w:val="00AB34B6"/>
    <w:rsid w:val="00AB49B4"/>
    <w:rsid w:val="00AB5079"/>
    <w:rsid w:val="00AB6E48"/>
    <w:rsid w:val="00AB79F0"/>
    <w:rsid w:val="00AC2075"/>
    <w:rsid w:val="00AC2B4C"/>
    <w:rsid w:val="00AD0865"/>
    <w:rsid w:val="00AD2DCB"/>
    <w:rsid w:val="00AD6813"/>
    <w:rsid w:val="00AE1B1D"/>
    <w:rsid w:val="00AE5C24"/>
    <w:rsid w:val="00AF6779"/>
    <w:rsid w:val="00B03A12"/>
    <w:rsid w:val="00B06227"/>
    <w:rsid w:val="00B10E96"/>
    <w:rsid w:val="00B11F87"/>
    <w:rsid w:val="00B1296D"/>
    <w:rsid w:val="00B219FE"/>
    <w:rsid w:val="00B23A1A"/>
    <w:rsid w:val="00B26CCE"/>
    <w:rsid w:val="00B2710A"/>
    <w:rsid w:val="00B31B5B"/>
    <w:rsid w:val="00B31CC5"/>
    <w:rsid w:val="00B35B0E"/>
    <w:rsid w:val="00B40672"/>
    <w:rsid w:val="00B40785"/>
    <w:rsid w:val="00B451D6"/>
    <w:rsid w:val="00B465AA"/>
    <w:rsid w:val="00B465C0"/>
    <w:rsid w:val="00B60F91"/>
    <w:rsid w:val="00B64706"/>
    <w:rsid w:val="00B64E1F"/>
    <w:rsid w:val="00B65A6B"/>
    <w:rsid w:val="00B6616E"/>
    <w:rsid w:val="00B75836"/>
    <w:rsid w:val="00B803A9"/>
    <w:rsid w:val="00B83C4C"/>
    <w:rsid w:val="00B879CB"/>
    <w:rsid w:val="00B97DBE"/>
    <w:rsid w:val="00BA19AC"/>
    <w:rsid w:val="00BA4E9A"/>
    <w:rsid w:val="00BA6536"/>
    <w:rsid w:val="00BA67AA"/>
    <w:rsid w:val="00BB0A98"/>
    <w:rsid w:val="00BB2CCF"/>
    <w:rsid w:val="00BB4C7E"/>
    <w:rsid w:val="00BB53B3"/>
    <w:rsid w:val="00BB6A1B"/>
    <w:rsid w:val="00BB7EF9"/>
    <w:rsid w:val="00BC4B55"/>
    <w:rsid w:val="00BC4D44"/>
    <w:rsid w:val="00BC569B"/>
    <w:rsid w:val="00BC7433"/>
    <w:rsid w:val="00BD2B5E"/>
    <w:rsid w:val="00BE1536"/>
    <w:rsid w:val="00BE1DA0"/>
    <w:rsid w:val="00BF069C"/>
    <w:rsid w:val="00BF1584"/>
    <w:rsid w:val="00BF6325"/>
    <w:rsid w:val="00BF7B47"/>
    <w:rsid w:val="00C052B3"/>
    <w:rsid w:val="00C06AEA"/>
    <w:rsid w:val="00C10EAE"/>
    <w:rsid w:val="00C22671"/>
    <w:rsid w:val="00C260B3"/>
    <w:rsid w:val="00C31423"/>
    <w:rsid w:val="00C31B46"/>
    <w:rsid w:val="00C43A25"/>
    <w:rsid w:val="00C52B4D"/>
    <w:rsid w:val="00C552F2"/>
    <w:rsid w:val="00C55A33"/>
    <w:rsid w:val="00C55B86"/>
    <w:rsid w:val="00C564F0"/>
    <w:rsid w:val="00C678F1"/>
    <w:rsid w:val="00C84572"/>
    <w:rsid w:val="00C84DD3"/>
    <w:rsid w:val="00C907E2"/>
    <w:rsid w:val="00C926C4"/>
    <w:rsid w:val="00C949FA"/>
    <w:rsid w:val="00C94F42"/>
    <w:rsid w:val="00CA6D9F"/>
    <w:rsid w:val="00CB072A"/>
    <w:rsid w:val="00CB6E19"/>
    <w:rsid w:val="00CB6F8C"/>
    <w:rsid w:val="00CB7918"/>
    <w:rsid w:val="00CC4C2E"/>
    <w:rsid w:val="00CC78E1"/>
    <w:rsid w:val="00CD5861"/>
    <w:rsid w:val="00CE1189"/>
    <w:rsid w:val="00CF5A5E"/>
    <w:rsid w:val="00D000D3"/>
    <w:rsid w:val="00D04D8F"/>
    <w:rsid w:val="00D054D3"/>
    <w:rsid w:val="00D157B8"/>
    <w:rsid w:val="00D20618"/>
    <w:rsid w:val="00D25684"/>
    <w:rsid w:val="00D27D90"/>
    <w:rsid w:val="00D3286B"/>
    <w:rsid w:val="00D33A26"/>
    <w:rsid w:val="00D3732A"/>
    <w:rsid w:val="00D41592"/>
    <w:rsid w:val="00D415AA"/>
    <w:rsid w:val="00D4773E"/>
    <w:rsid w:val="00D510A5"/>
    <w:rsid w:val="00D561F2"/>
    <w:rsid w:val="00D57358"/>
    <w:rsid w:val="00D6012C"/>
    <w:rsid w:val="00D72B81"/>
    <w:rsid w:val="00D912A6"/>
    <w:rsid w:val="00D91DF0"/>
    <w:rsid w:val="00D92FF5"/>
    <w:rsid w:val="00D95AFD"/>
    <w:rsid w:val="00D9694F"/>
    <w:rsid w:val="00D96ACA"/>
    <w:rsid w:val="00DA0E85"/>
    <w:rsid w:val="00DA1E09"/>
    <w:rsid w:val="00DB5BBA"/>
    <w:rsid w:val="00DB7489"/>
    <w:rsid w:val="00DC6D31"/>
    <w:rsid w:val="00DD18DE"/>
    <w:rsid w:val="00DD6649"/>
    <w:rsid w:val="00DD6AF5"/>
    <w:rsid w:val="00DF3E66"/>
    <w:rsid w:val="00DF4949"/>
    <w:rsid w:val="00E062D8"/>
    <w:rsid w:val="00E063F5"/>
    <w:rsid w:val="00E06E8B"/>
    <w:rsid w:val="00E072CA"/>
    <w:rsid w:val="00E15E81"/>
    <w:rsid w:val="00E1742D"/>
    <w:rsid w:val="00E401D2"/>
    <w:rsid w:val="00E4061C"/>
    <w:rsid w:val="00E41D1E"/>
    <w:rsid w:val="00E425C0"/>
    <w:rsid w:val="00E43E7D"/>
    <w:rsid w:val="00E4674C"/>
    <w:rsid w:val="00E46F87"/>
    <w:rsid w:val="00E54CBC"/>
    <w:rsid w:val="00E55964"/>
    <w:rsid w:val="00E61972"/>
    <w:rsid w:val="00E634F9"/>
    <w:rsid w:val="00E6509C"/>
    <w:rsid w:val="00E654B4"/>
    <w:rsid w:val="00E717F1"/>
    <w:rsid w:val="00E80A5D"/>
    <w:rsid w:val="00E812F8"/>
    <w:rsid w:val="00E9068B"/>
    <w:rsid w:val="00E9607A"/>
    <w:rsid w:val="00EA003D"/>
    <w:rsid w:val="00EA14D0"/>
    <w:rsid w:val="00EA2EF2"/>
    <w:rsid w:val="00EA3E9C"/>
    <w:rsid w:val="00EB431B"/>
    <w:rsid w:val="00EC0556"/>
    <w:rsid w:val="00EC1277"/>
    <w:rsid w:val="00EC55AB"/>
    <w:rsid w:val="00EC731C"/>
    <w:rsid w:val="00ED283E"/>
    <w:rsid w:val="00ED3730"/>
    <w:rsid w:val="00ED38A9"/>
    <w:rsid w:val="00ED5A67"/>
    <w:rsid w:val="00ED7D4A"/>
    <w:rsid w:val="00EE423A"/>
    <w:rsid w:val="00EF5574"/>
    <w:rsid w:val="00F03937"/>
    <w:rsid w:val="00F056C2"/>
    <w:rsid w:val="00F06002"/>
    <w:rsid w:val="00F077E2"/>
    <w:rsid w:val="00F10954"/>
    <w:rsid w:val="00F170ED"/>
    <w:rsid w:val="00F22AB4"/>
    <w:rsid w:val="00F22EF0"/>
    <w:rsid w:val="00F2795D"/>
    <w:rsid w:val="00F331C9"/>
    <w:rsid w:val="00F347BB"/>
    <w:rsid w:val="00F349DD"/>
    <w:rsid w:val="00F35525"/>
    <w:rsid w:val="00F37A52"/>
    <w:rsid w:val="00F404E1"/>
    <w:rsid w:val="00F42794"/>
    <w:rsid w:val="00F52B3F"/>
    <w:rsid w:val="00F551F4"/>
    <w:rsid w:val="00F56FC3"/>
    <w:rsid w:val="00F632A8"/>
    <w:rsid w:val="00F66D97"/>
    <w:rsid w:val="00F675C0"/>
    <w:rsid w:val="00F72B3C"/>
    <w:rsid w:val="00F76FEB"/>
    <w:rsid w:val="00F857B4"/>
    <w:rsid w:val="00F9380E"/>
    <w:rsid w:val="00F94767"/>
    <w:rsid w:val="00F96668"/>
    <w:rsid w:val="00FA06E8"/>
    <w:rsid w:val="00FA56CD"/>
    <w:rsid w:val="00FB1719"/>
    <w:rsid w:val="00FB1980"/>
    <w:rsid w:val="00FB4067"/>
    <w:rsid w:val="00FB5B38"/>
    <w:rsid w:val="00FB7B88"/>
    <w:rsid w:val="00FB7D63"/>
    <w:rsid w:val="00FC2622"/>
    <w:rsid w:val="00FC3B6E"/>
    <w:rsid w:val="00FC5935"/>
    <w:rsid w:val="00FC6A93"/>
    <w:rsid w:val="00FD2A82"/>
    <w:rsid w:val="00FD3D1C"/>
    <w:rsid w:val="00FE451C"/>
    <w:rsid w:val="00FE4C2A"/>
    <w:rsid w:val="00FE5349"/>
    <w:rsid w:val="00FF1CF6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A2862"/>
  <w15:docId w15:val="{0DC226B7-ECD5-482B-A804-C1FBC56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basedOn w:val="Normal"/>
    <w:link w:val="BodyTextChar"/>
    <w:uiPriority w:val="1"/>
    <w:qFormat/>
    <w:rsid w:val="002043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0438E"/>
    <w:rPr>
      <w:rFonts w:ascii="Calibri" w:eastAsia="Calibri" w:hAnsi="Calibri" w:cs="Calibri"/>
      <w:sz w:val="24"/>
      <w:szCs w:val="24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2043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60" w:hanging="361"/>
    </w:pPr>
    <w:rPr>
      <w:rFonts w:ascii="Calibri" w:eastAsia="Calibri" w:hAnsi="Calibri" w:cs="Calibri"/>
      <w:sz w:val="22"/>
      <w:szCs w:val="22"/>
      <w:bdr w:val="none" w:sz="0" w:space="0" w:color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7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D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7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DBE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31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2">
    <w:name w:val="p2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3">
    <w:name w:val="p3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character" w:customStyle="1" w:styleId="s1">
    <w:name w:val="s1"/>
    <w:basedOn w:val="DefaultParagraphFont"/>
    <w:rsid w:val="007E2988"/>
  </w:style>
  <w:style w:type="character" w:customStyle="1" w:styleId="s2">
    <w:name w:val="s2"/>
    <w:basedOn w:val="DefaultParagraphFont"/>
    <w:rsid w:val="007E2988"/>
  </w:style>
  <w:style w:type="character" w:customStyle="1" w:styleId="apple-converted-space">
    <w:name w:val="apple-converted-space"/>
    <w:basedOn w:val="DefaultParagraphFont"/>
    <w:rsid w:val="007E2988"/>
  </w:style>
  <w:style w:type="character" w:styleId="Emphasis">
    <w:name w:val="Emphasis"/>
    <w:basedOn w:val="DefaultParagraphFont"/>
    <w:uiPriority w:val="20"/>
    <w:qFormat/>
    <w:rsid w:val="0038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8C87E5F1E414AB30EBC2026B42698" ma:contentTypeVersion="4" ma:contentTypeDescription="Create a new document." ma:contentTypeScope="" ma:versionID="131785c199ea6009fc3dde9dc77306a9">
  <xsd:schema xmlns:xsd="http://www.w3.org/2001/XMLSchema" xmlns:xs="http://www.w3.org/2001/XMLSchema" xmlns:p="http://schemas.microsoft.com/office/2006/metadata/properties" xmlns:ns2="4f034ab0-ff97-409f-a6b3-6efb8566028e" targetNamespace="http://schemas.microsoft.com/office/2006/metadata/properties" ma:root="true" ma:fieldsID="5e82f62b98fa4b2605eda1a5397d17ae" ns2:_="">
    <xsd:import namespace="4f034ab0-ff97-409f-a6b3-6efb85660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4ab0-ff97-409f-a6b3-6efb85660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A9254-51C7-45AA-87AF-445542BEF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6396A-1286-42DD-A289-3A1E6D86E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EFC32-7B52-42E3-8C4D-259927CC7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44D01-1E8F-48B3-B5C5-3218A417D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34ab0-ff97-409f-a6b3-6efb85660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85a391-2466-46e8-8353-f803f8c9516c}" enabled="0" method="" siteId="{f585a391-2466-46e8-8353-f803f8c951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3387</Characters>
  <Application>Microsoft Office Word</Application>
  <DocSecurity>0</DocSecurity>
  <Lines>97</Lines>
  <Paragraphs>42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Cole</dc:creator>
  <cp:lastModifiedBy>Kim Lewis</cp:lastModifiedBy>
  <cp:revision>2</cp:revision>
  <cp:lastPrinted>2023-12-27T08:59:00Z</cp:lastPrinted>
  <dcterms:created xsi:type="dcterms:W3CDTF">2026-02-16T07:59:00Z</dcterms:created>
  <dcterms:modified xsi:type="dcterms:W3CDTF">2026-02-16T07:59:00Z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0x010100F3A8C87E5F1E414AB30EBC2026B42698</vt:lpwstr>
  </property>
</Properties>
</file>